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FFB0F" w14:textId="77777777" w:rsidR="0083388C" w:rsidRPr="0083388C" w:rsidRDefault="0083388C" w:rsidP="0083388C">
      <w:pPr>
        <w:tabs>
          <w:tab w:val="left" w:pos="720"/>
        </w:tabs>
        <w:jc w:val="center"/>
        <w:rPr>
          <w:rFonts w:eastAsia="MS Mincho"/>
          <w:b/>
          <w:bCs/>
          <w:sz w:val="23"/>
          <w:szCs w:val="23"/>
        </w:rPr>
      </w:pPr>
      <w:r w:rsidRPr="0083388C">
        <w:rPr>
          <w:rFonts w:eastAsia="MS Mincho"/>
          <w:b/>
          <w:bCs/>
          <w:sz w:val="23"/>
          <w:szCs w:val="23"/>
        </w:rPr>
        <w:t>PUC DOCKET NO. 56211</w:t>
      </w:r>
    </w:p>
    <w:p w14:paraId="582F2658" w14:textId="77777777" w:rsidR="0083388C" w:rsidRPr="0083388C" w:rsidRDefault="0083388C" w:rsidP="0083388C">
      <w:pPr>
        <w:tabs>
          <w:tab w:val="left" w:pos="720"/>
        </w:tabs>
        <w:jc w:val="center"/>
        <w:rPr>
          <w:rFonts w:eastAsia="MS Mincho"/>
          <w:b/>
          <w:bCs/>
          <w:sz w:val="23"/>
          <w:szCs w:val="23"/>
        </w:rPr>
      </w:pPr>
    </w:p>
    <w:p w14:paraId="23DEEB24" w14:textId="77777777" w:rsidR="0083388C" w:rsidRPr="0083388C" w:rsidRDefault="0083388C" w:rsidP="0083388C">
      <w:pPr>
        <w:tabs>
          <w:tab w:val="left" w:pos="720"/>
        </w:tabs>
        <w:jc w:val="center"/>
        <w:rPr>
          <w:rFonts w:eastAsia="MS Mincho"/>
          <w:szCs w:val="24"/>
        </w:rPr>
      </w:pPr>
    </w:p>
    <w:p w14:paraId="39EF9081" w14:textId="77777777" w:rsidR="0083388C" w:rsidRPr="0083388C" w:rsidRDefault="0083388C" w:rsidP="0083388C">
      <w:pPr>
        <w:tabs>
          <w:tab w:val="left" w:pos="720"/>
        </w:tabs>
        <w:jc w:val="both"/>
        <w:rPr>
          <w:rFonts w:eastAsia="MS Mincho"/>
          <w:szCs w:val="24"/>
        </w:rPr>
      </w:pPr>
    </w:p>
    <w:tbl>
      <w:tblPr>
        <w:tblW w:w="9410" w:type="dxa"/>
        <w:tblInd w:w="-410" w:type="dxa"/>
        <w:tblLayout w:type="fixed"/>
        <w:tblCellMar>
          <w:left w:w="40" w:type="dxa"/>
          <w:right w:w="40" w:type="dxa"/>
        </w:tblCellMar>
        <w:tblLook w:val="0000" w:firstRow="0" w:lastRow="0" w:firstColumn="0" w:lastColumn="0" w:noHBand="0" w:noVBand="0"/>
      </w:tblPr>
      <w:tblGrid>
        <w:gridCol w:w="4550"/>
        <w:gridCol w:w="360"/>
        <w:gridCol w:w="4500"/>
      </w:tblGrid>
      <w:tr w:rsidR="0083388C" w:rsidRPr="0083388C" w14:paraId="3AD74F87" w14:textId="77777777" w:rsidTr="008B62C5">
        <w:tc>
          <w:tcPr>
            <w:tcW w:w="4550" w:type="dxa"/>
            <w:tcBorders>
              <w:top w:val="nil"/>
              <w:left w:val="nil"/>
              <w:bottom w:val="nil"/>
              <w:right w:val="nil"/>
            </w:tcBorders>
          </w:tcPr>
          <w:p w14:paraId="36878931" w14:textId="77777777" w:rsidR="0083388C" w:rsidRPr="0083388C" w:rsidRDefault="0083388C" w:rsidP="0083388C">
            <w:pPr>
              <w:widowControl w:val="0"/>
              <w:rPr>
                <w:b/>
                <w:snapToGrid w:val="0"/>
                <w:szCs w:val="24"/>
              </w:rPr>
            </w:pPr>
            <w:bookmarkStart w:id="0" w:name="_Hlk158275849"/>
            <w:bookmarkEnd w:id="0"/>
            <w:r w:rsidRPr="0083388C">
              <w:rPr>
                <w:b/>
                <w:bCs/>
                <w:snapToGrid w:val="0"/>
                <w:szCs w:val="24"/>
              </w:rPr>
              <w:t>APPLICATION OF CENTERPOINT ENERGY HOUSTON ELECTRIC, LLC FOR AUTHORITY TO CHANGE RATES</w:t>
            </w:r>
          </w:p>
        </w:tc>
        <w:tc>
          <w:tcPr>
            <w:tcW w:w="360" w:type="dxa"/>
            <w:tcBorders>
              <w:top w:val="nil"/>
              <w:left w:val="nil"/>
              <w:bottom w:val="nil"/>
              <w:right w:val="nil"/>
            </w:tcBorders>
          </w:tcPr>
          <w:p w14:paraId="08A6FEF6" w14:textId="77777777" w:rsidR="0083388C" w:rsidRPr="0083388C" w:rsidRDefault="0083388C" w:rsidP="0083388C">
            <w:pPr>
              <w:widowControl w:val="0"/>
              <w:autoSpaceDE w:val="0"/>
              <w:autoSpaceDN w:val="0"/>
              <w:adjustRightInd w:val="0"/>
              <w:spacing w:line="240" w:lineRule="atLeast"/>
              <w:ind w:left="108" w:right="108"/>
              <w:jc w:val="center"/>
              <w:rPr>
                <w:b/>
                <w:snapToGrid w:val="0"/>
                <w:color w:val="000000"/>
                <w:szCs w:val="24"/>
              </w:rPr>
            </w:pPr>
            <w:r w:rsidRPr="0083388C">
              <w:rPr>
                <w:b/>
                <w:snapToGrid w:val="0"/>
                <w:color w:val="000000"/>
                <w:szCs w:val="24"/>
              </w:rPr>
              <w:t>§</w:t>
            </w:r>
          </w:p>
          <w:p w14:paraId="098FD4E6" w14:textId="77777777" w:rsidR="0083388C" w:rsidRPr="0083388C" w:rsidRDefault="0083388C" w:rsidP="0083388C">
            <w:pPr>
              <w:widowControl w:val="0"/>
              <w:autoSpaceDE w:val="0"/>
              <w:autoSpaceDN w:val="0"/>
              <w:adjustRightInd w:val="0"/>
              <w:spacing w:line="240" w:lineRule="atLeast"/>
              <w:ind w:left="108" w:right="108"/>
              <w:jc w:val="center"/>
              <w:rPr>
                <w:b/>
                <w:snapToGrid w:val="0"/>
                <w:color w:val="000000"/>
                <w:szCs w:val="24"/>
              </w:rPr>
            </w:pPr>
            <w:r w:rsidRPr="0083388C">
              <w:rPr>
                <w:b/>
                <w:snapToGrid w:val="0"/>
                <w:color w:val="000000"/>
                <w:szCs w:val="24"/>
              </w:rPr>
              <w:t>§</w:t>
            </w:r>
          </w:p>
          <w:p w14:paraId="6DE73180" w14:textId="77777777" w:rsidR="0083388C" w:rsidRPr="0083388C" w:rsidRDefault="0083388C" w:rsidP="0083388C">
            <w:pPr>
              <w:widowControl w:val="0"/>
              <w:autoSpaceDE w:val="0"/>
              <w:autoSpaceDN w:val="0"/>
              <w:adjustRightInd w:val="0"/>
              <w:spacing w:line="240" w:lineRule="atLeast"/>
              <w:ind w:left="108" w:right="108"/>
              <w:jc w:val="center"/>
              <w:rPr>
                <w:b/>
                <w:snapToGrid w:val="0"/>
                <w:color w:val="000000"/>
                <w:szCs w:val="24"/>
              </w:rPr>
            </w:pPr>
            <w:r w:rsidRPr="0083388C">
              <w:rPr>
                <w:b/>
                <w:snapToGrid w:val="0"/>
                <w:color w:val="000000"/>
                <w:szCs w:val="24"/>
              </w:rPr>
              <w:t>§</w:t>
            </w:r>
          </w:p>
          <w:p w14:paraId="5962F34F" w14:textId="77777777" w:rsidR="0083388C" w:rsidRPr="0083388C" w:rsidRDefault="0083388C" w:rsidP="0083388C">
            <w:pPr>
              <w:widowControl w:val="0"/>
              <w:autoSpaceDE w:val="0"/>
              <w:autoSpaceDN w:val="0"/>
              <w:adjustRightInd w:val="0"/>
              <w:spacing w:line="240" w:lineRule="atLeast"/>
              <w:ind w:left="108" w:right="108"/>
              <w:jc w:val="center"/>
              <w:rPr>
                <w:b/>
                <w:snapToGrid w:val="0"/>
                <w:color w:val="000000"/>
                <w:szCs w:val="24"/>
              </w:rPr>
            </w:pPr>
          </w:p>
        </w:tc>
        <w:tc>
          <w:tcPr>
            <w:tcW w:w="4500" w:type="dxa"/>
            <w:tcBorders>
              <w:top w:val="nil"/>
              <w:left w:val="nil"/>
              <w:bottom w:val="nil"/>
              <w:right w:val="nil"/>
            </w:tcBorders>
          </w:tcPr>
          <w:p w14:paraId="441D089F" w14:textId="77777777" w:rsidR="0083388C" w:rsidRPr="0083388C" w:rsidRDefault="0083388C" w:rsidP="0083388C">
            <w:pPr>
              <w:widowControl w:val="0"/>
              <w:autoSpaceDE w:val="0"/>
              <w:autoSpaceDN w:val="0"/>
              <w:adjustRightInd w:val="0"/>
              <w:spacing w:line="240" w:lineRule="atLeast"/>
              <w:jc w:val="center"/>
              <w:rPr>
                <w:b/>
                <w:snapToGrid w:val="0"/>
                <w:color w:val="000000"/>
                <w:szCs w:val="24"/>
              </w:rPr>
            </w:pPr>
            <w:r w:rsidRPr="0083388C">
              <w:rPr>
                <w:b/>
                <w:snapToGrid w:val="0"/>
                <w:color w:val="000000"/>
                <w:szCs w:val="24"/>
              </w:rPr>
              <w:t>PUBLIC UTILITY COMMISSION</w:t>
            </w:r>
          </w:p>
          <w:p w14:paraId="28E09D52" w14:textId="77777777" w:rsidR="0083388C" w:rsidRPr="0083388C" w:rsidRDefault="0083388C" w:rsidP="0083388C">
            <w:pPr>
              <w:widowControl w:val="0"/>
              <w:autoSpaceDE w:val="0"/>
              <w:autoSpaceDN w:val="0"/>
              <w:adjustRightInd w:val="0"/>
              <w:spacing w:line="240" w:lineRule="atLeast"/>
              <w:ind w:right="108"/>
              <w:jc w:val="center"/>
              <w:rPr>
                <w:b/>
                <w:snapToGrid w:val="0"/>
                <w:color w:val="000000"/>
                <w:szCs w:val="24"/>
              </w:rPr>
            </w:pPr>
          </w:p>
          <w:p w14:paraId="4C00194C" w14:textId="77777777" w:rsidR="0083388C" w:rsidRPr="0083388C" w:rsidRDefault="0083388C" w:rsidP="0083388C">
            <w:pPr>
              <w:widowControl w:val="0"/>
              <w:autoSpaceDE w:val="0"/>
              <w:autoSpaceDN w:val="0"/>
              <w:adjustRightInd w:val="0"/>
              <w:spacing w:line="240" w:lineRule="atLeast"/>
              <w:ind w:right="108"/>
              <w:jc w:val="center"/>
              <w:rPr>
                <w:b/>
                <w:snapToGrid w:val="0"/>
                <w:color w:val="000000"/>
                <w:szCs w:val="24"/>
              </w:rPr>
            </w:pPr>
            <w:r w:rsidRPr="0083388C">
              <w:rPr>
                <w:b/>
                <w:snapToGrid w:val="0"/>
                <w:color w:val="000000"/>
                <w:szCs w:val="24"/>
              </w:rPr>
              <w:t>OF TEXAS</w:t>
            </w:r>
          </w:p>
        </w:tc>
      </w:tr>
    </w:tbl>
    <w:p w14:paraId="25ECA5B7" w14:textId="77777777" w:rsidR="00724F5A" w:rsidRPr="00C45DF3" w:rsidRDefault="00724F5A" w:rsidP="00724F5A">
      <w:pPr>
        <w:autoSpaceDE w:val="0"/>
        <w:autoSpaceDN w:val="0"/>
        <w:adjustRightInd w:val="0"/>
        <w:spacing w:line="240" w:lineRule="atLeast"/>
        <w:jc w:val="center"/>
        <w:rPr>
          <w:b/>
          <w:color w:val="000000"/>
          <w:szCs w:val="24"/>
        </w:rPr>
      </w:pPr>
    </w:p>
    <w:p w14:paraId="2CF94884" w14:textId="77777777" w:rsidR="00DD31F8" w:rsidRDefault="00DD31F8" w:rsidP="00724F5A">
      <w:pPr>
        <w:pStyle w:val="Title"/>
        <w:spacing w:line="240" w:lineRule="auto"/>
        <w:rPr>
          <w:szCs w:val="24"/>
          <w:u w:val="none"/>
        </w:rPr>
      </w:pPr>
    </w:p>
    <w:p w14:paraId="725FC153" w14:textId="69D53CB8" w:rsidR="00DD31F8" w:rsidRDefault="00DD31F8" w:rsidP="00724F5A">
      <w:pPr>
        <w:pStyle w:val="Title"/>
        <w:spacing w:line="240" w:lineRule="auto"/>
        <w:rPr>
          <w:szCs w:val="24"/>
          <w:u w:val="none"/>
        </w:rPr>
      </w:pPr>
    </w:p>
    <w:p w14:paraId="3487487E" w14:textId="44F4E7F5" w:rsidR="000E1DA3" w:rsidRDefault="000E1DA3" w:rsidP="00724F5A">
      <w:pPr>
        <w:pStyle w:val="Title"/>
        <w:spacing w:line="240" w:lineRule="auto"/>
        <w:rPr>
          <w:szCs w:val="24"/>
          <w:u w:val="none"/>
        </w:rPr>
      </w:pPr>
    </w:p>
    <w:p w14:paraId="02738836" w14:textId="77777777" w:rsidR="000E1DA3" w:rsidRDefault="000E1DA3" w:rsidP="00724F5A">
      <w:pPr>
        <w:pStyle w:val="Title"/>
        <w:spacing w:line="240" w:lineRule="auto"/>
        <w:rPr>
          <w:szCs w:val="24"/>
          <w:u w:val="none"/>
        </w:rPr>
      </w:pPr>
    </w:p>
    <w:p w14:paraId="33651EB1" w14:textId="77777777" w:rsidR="00DD31F8" w:rsidRDefault="00DD31F8" w:rsidP="00724F5A">
      <w:pPr>
        <w:pStyle w:val="Title"/>
        <w:spacing w:line="240" w:lineRule="auto"/>
        <w:rPr>
          <w:szCs w:val="24"/>
          <w:u w:val="none"/>
        </w:rPr>
      </w:pPr>
    </w:p>
    <w:p w14:paraId="49573D86" w14:textId="77777777" w:rsidR="007E1B1A" w:rsidRPr="00E256DE" w:rsidRDefault="00BE388F" w:rsidP="00724F5A">
      <w:pPr>
        <w:pStyle w:val="Title"/>
        <w:spacing w:line="240" w:lineRule="auto"/>
        <w:rPr>
          <w:szCs w:val="24"/>
          <w:u w:val="none"/>
        </w:rPr>
      </w:pPr>
      <w:r w:rsidRPr="00E256DE">
        <w:rPr>
          <w:szCs w:val="24"/>
          <w:u w:val="none"/>
        </w:rPr>
        <w:t>DIRECT TESTIMONY</w:t>
      </w:r>
    </w:p>
    <w:p w14:paraId="32E013A0" w14:textId="77777777" w:rsidR="00DD31F8" w:rsidRDefault="00DD31F8" w:rsidP="00724F5A">
      <w:pPr>
        <w:pStyle w:val="Title"/>
        <w:spacing w:line="240" w:lineRule="auto"/>
        <w:rPr>
          <w:szCs w:val="24"/>
          <w:u w:val="none"/>
        </w:rPr>
      </w:pPr>
    </w:p>
    <w:p w14:paraId="595DA1B6" w14:textId="77777777" w:rsidR="00BE388F" w:rsidRPr="00E256DE" w:rsidRDefault="00BE388F" w:rsidP="00724F5A">
      <w:pPr>
        <w:pStyle w:val="Title"/>
        <w:spacing w:line="240" w:lineRule="auto"/>
        <w:rPr>
          <w:szCs w:val="24"/>
          <w:u w:val="none"/>
        </w:rPr>
      </w:pPr>
      <w:r w:rsidRPr="00E256DE">
        <w:rPr>
          <w:szCs w:val="24"/>
          <w:u w:val="none"/>
        </w:rPr>
        <w:t>OF</w:t>
      </w:r>
    </w:p>
    <w:p w14:paraId="7811B2FB" w14:textId="4C2DA7C4" w:rsidR="00DD31F8" w:rsidRDefault="00DD31F8" w:rsidP="00724F5A">
      <w:pPr>
        <w:pStyle w:val="Title"/>
        <w:spacing w:line="240" w:lineRule="auto"/>
        <w:rPr>
          <w:u w:val="none"/>
        </w:rPr>
      </w:pPr>
    </w:p>
    <w:p w14:paraId="5A0C4EA7" w14:textId="491FB069" w:rsidR="007E1B1A" w:rsidRPr="00E256DE" w:rsidRDefault="00922A99" w:rsidP="00724F5A">
      <w:pPr>
        <w:pStyle w:val="Title"/>
        <w:spacing w:line="240" w:lineRule="auto"/>
        <w:rPr>
          <w:szCs w:val="24"/>
          <w:u w:val="none"/>
        </w:rPr>
      </w:pPr>
      <w:r>
        <w:rPr>
          <w:szCs w:val="24"/>
          <w:u w:val="none"/>
        </w:rPr>
        <w:t xml:space="preserve">JACQUELINE </w:t>
      </w:r>
      <w:r w:rsidR="00270172">
        <w:rPr>
          <w:szCs w:val="24"/>
          <w:u w:val="none"/>
        </w:rPr>
        <w:t xml:space="preserve">M. </w:t>
      </w:r>
      <w:r>
        <w:rPr>
          <w:szCs w:val="24"/>
          <w:u w:val="none"/>
        </w:rPr>
        <w:t>RICHERT</w:t>
      </w:r>
    </w:p>
    <w:p w14:paraId="7DE50650" w14:textId="77777777" w:rsidR="00DD31F8" w:rsidRPr="00E256DE" w:rsidRDefault="00DD31F8" w:rsidP="00724F5A">
      <w:pPr>
        <w:pStyle w:val="Title"/>
        <w:spacing w:line="240" w:lineRule="auto"/>
        <w:rPr>
          <w:szCs w:val="24"/>
          <w:u w:val="none"/>
        </w:rPr>
      </w:pPr>
    </w:p>
    <w:p w14:paraId="56301995" w14:textId="77777777" w:rsidR="007E1B1A" w:rsidRDefault="00291416" w:rsidP="00724F5A">
      <w:pPr>
        <w:pStyle w:val="Title"/>
        <w:spacing w:line="240" w:lineRule="auto"/>
        <w:rPr>
          <w:szCs w:val="24"/>
          <w:u w:val="none"/>
        </w:rPr>
      </w:pPr>
      <w:r w:rsidRPr="00E256DE">
        <w:rPr>
          <w:szCs w:val="24"/>
          <w:u w:val="none"/>
        </w:rPr>
        <w:t>ON BEHALF OF</w:t>
      </w:r>
    </w:p>
    <w:p w14:paraId="63E3ADF7" w14:textId="77777777" w:rsidR="00DD31F8" w:rsidRPr="00E256DE" w:rsidRDefault="00DD31F8" w:rsidP="00724F5A">
      <w:pPr>
        <w:pStyle w:val="Title"/>
        <w:spacing w:line="240" w:lineRule="auto"/>
        <w:rPr>
          <w:szCs w:val="24"/>
          <w:u w:val="none"/>
        </w:rPr>
      </w:pPr>
    </w:p>
    <w:p w14:paraId="3095C256" w14:textId="77777777" w:rsidR="007E1B1A" w:rsidRDefault="009D0C0E" w:rsidP="00724F5A">
      <w:pPr>
        <w:pStyle w:val="Title"/>
        <w:spacing w:line="240" w:lineRule="auto"/>
        <w:rPr>
          <w:szCs w:val="24"/>
          <w:u w:val="none"/>
        </w:rPr>
      </w:pPr>
      <w:r w:rsidRPr="00E256DE">
        <w:rPr>
          <w:szCs w:val="24"/>
          <w:u w:val="none"/>
        </w:rPr>
        <w:t>CENTERPOINT ENERGY HOUSTON ELECTRIC, LLC</w:t>
      </w:r>
    </w:p>
    <w:p w14:paraId="7C4D1C67" w14:textId="77777777" w:rsidR="00DD31F8" w:rsidRPr="00E256DE" w:rsidRDefault="00DD31F8" w:rsidP="00724F5A">
      <w:pPr>
        <w:pStyle w:val="Title"/>
        <w:spacing w:line="240" w:lineRule="auto"/>
        <w:rPr>
          <w:szCs w:val="24"/>
          <w:u w:val="none"/>
        </w:rPr>
      </w:pPr>
    </w:p>
    <w:p w14:paraId="3547A057" w14:textId="77777777" w:rsidR="007E1B1A" w:rsidRPr="00E256DE" w:rsidRDefault="007E1B1A" w:rsidP="00724F5A">
      <w:pPr>
        <w:pStyle w:val="Title"/>
        <w:spacing w:line="240" w:lineRule="auto"/>
        <w:rPr>
          <w:szCs w:val="24"/>
          <w:u w:val="none"/>
        </w:rPr>
      </w:pPr>
    </w:p>
    <w:p w14:paraId="17DF0C70" w14:textId="77777777" w:rsidR="007E1B1A" w:rsidRPr="00E256DE" w:rsidRDefault="007E1B1A" w:rsidP="00724F5A">
      <w:pPr>
        <w:pStyle w:val="Title"/>
        <w:spacing w:line="240" w:lineRule="auto"/>
        <w:rPr>
          <w:szCs w:val="24"/>
          <w:u w:val="none"/>
        </w:rPr>
      </w:pPr>
    </w:p>
    <w:p w14:paraId="62ECEE91" w14:textId="77777777" w:rsidR="007E1B1A" w:rsidRPr="00E256DE" w:rsidRDefault="007E1B1A" w:rsidP="00724F5A">
      <w:pPr>
        <w:pStyle w:val="Title"/>
        <w:spacing w:line="240" w:lineRule="auto"/>
        <w:rPr>
          <w:szCs w:val="24"/>
          <w:u w:val="none"/>
        </w:rPr>
      </w:pPr>
    </w:p>
    <w:p w14:paraId="36890E43" w14:textId="77777777" w:rsidR="007E1B1A" w:rsidRPr="00E256DE" w:rsidRDefault="007E1B1A" w:rsidP="00724F5A">
      <w:pPr>
        <w:pStyle w:val="Title"/>
        <w:spacing w:line="240" w:lineRule="auto"/>
        <w:rPr>
          <w:szCs w:val="24"/>
          <w:u w:val="none"/>
        </w:rPr>
      </w:pPr>
    </w:p>
    <w:p w14:paraId="76C53A50" w14:textId="77777777" w:rsidR="00005A34" w:rsidRPr="00E256DE" w:rsidRDefault="00005A34" w:rsidP="00724F5A">
      <w:pPr>
        <w:pStyle w:val="Title"/>
        <w:spacing w:line="240" w:lineRule="auto"/>
        <w:rPr>
          <w:szCs w:val="24"/>
          <w:u w:val="none"/>
        </w:rPr>
      </w:pPr>
    </w:p>
    <w:p w14:paraId="075B10EB" w14:textId="77777777" w:rsidR="00BE388F" w:rsidRDefault="00BE388F" w:rsidP="00724F5A">
      <w:pPr>
        <w:pStyle w:val="Title"/>
        <w:spacing w:line="240" w:lineRule="auto"/>
        <w:rPr>
          <w:szCs w:val="24"/>
          <w:u w:val="none"/>
        </w:rPr>
      </w:pPr>
    </w:p>
    <w:p w14:paraId="0864B6BC" w14:textId="77777777" w:rsidR="00DD31F8" w:rsidRDefault="00DD31F8" w:rsidP="00724F5A">
      <w:pPr>
        <w:pStyle w:val="Title"/>
        <w:spacing w:line="240" w:lineRule="auto"/>
        <w:rPr>
          <w:szCs w:val="24"/>
          <w:u w:val="none"/>
        </w:rPr>
      </w:pPr>
    </w:p>
    <w:p w14:paraId="41D3570A" w14:textId="77777777" w:rsidR="00724F5A" w:rsidRDefault="00724F5A" w:rsidP="00724F5A">
      <w:pPr>
        <w:pStyle w:val="Title"/>
        <w:spacing w:line="240" w:lineRule="auto"/>
        <w:rPr>
          <w:szCs w:val="24"/>
          <w:u w:val="none"/>
        </w:rPr>
      </w:pPr>
    </w:p>
    <w:p w14:paraId="63BEE09D" w14:textId="77777777" w:rsidR="00724F5A" w:rsidRDefault="00724F5A" w:rsidP="00724F5A">
      <w:pPr>
        <w:pStyle w:val="Title"/>
        <w:spacing w:line="240" w:lineRule="auto"/>
        <w:rPr>
          <w:szCs w:val="24"/>
          <w:u w:val="none"/>
        </w:rPr>
      </w:pPr>
    </w:p>
    <w:p w14:paraId="2CBBD9E7" w14:textId="77777777" w:rsidR="00724F5A" w:rsidRDefault="00724F5A" w:rsidP="00724F5A">
      <w:pPr>
        <w:pStyle w:val="Title"/>
        <w:spacing w:line="240" w:lineRule="auto"/>
        <w:rPr>
          <w:szCs w:val="24"/>
          <w:u w:val="none"/>
        </w:rPr>
      </w:pPr>
    </w:p>
    <w:p w14:paraId="3DA337DA" w14:textId="77777777" w:rsidR="00724F5A" w:rsidRDefault="00724F5A" w:rsidP="00724F5A">
      <w:pPr>
        <w:pStyle w:val="Title"/>
        <w:spacing w:line="240" w:lineRule="auto"/>
        <w:rPr>
          <w:szCs w:val="24"/>
          <w:u w:val="none"/>
        </w:rPr>
      </w:pPr>
    </w:p>
    <w:p w14:paraId="39A2843B" w14:textId="77777777" w:rsidR="00724F5A" w:rsidRDefault="00724F5A" w:rsidP="00724F5A">
      <w:pPr>
        <w:pStyle w:val="Title"/>
        <w:spacing w:line="240" w:lineRule="auto"/>
        <w:rPr>
          <w:szCs w:val="24"/>
          <w:u w:val="none"/>
        </w:rPr>
      </w:pPr>
    </w:p>
    <w:p w14:paraId="2AB7A3B3" w14:textId="77777777" w:rsidR="00724F5A" w:rsidRDefault="00724F5A" w:rsidP="00724F5A">
      <w:pPr>
        <w:pStyle w:val="Title"/>
        <w:spacing w:line="240" w:lineRule="auto"/>
        <w:rPr>
          <w:szCs w:val="24"/>
          <w:u w:val="none"/>
        </w:rPr>
      </w:pPr>
    </w:p>
    <w:p w14:paraId="620FE2D1" w14:textId="77777777" w:rsidR="00724F5A" w:rsidRDefault="00724F5A" w:rsidP="00724F5A">
      <w:pPr>
        <w:pStyle w:val="Title"/>
        <w:spacing w:line="240" w:lineRule="auto"/>
        <w:rPr>
          <w:szCs w:val="24"/>
          <w:u w:val="none"/>
        </w:rPr>
      </w:pPr>
    </w:p>
    <w:p w14:paraId="167D4F22" w14:textId="77777777" w:rsidR="00724F5A" w:rsidRDefault="00724F5A" w:rsidP="00724F5A">
      <w:pPr>
        <w:pStyle w:val="Title"/>
        <w:spacing w:line="240" w:lineRule="auto"/>
        <w:rPr>
          <w:szCs w:val="24"/>
          <w:u w:val="none"/>
        </w:rPr>
      </w:pPr>
    </w:p>
    <w:p w14:paraId="605191B5" w14:textId="77777777" w:rsidR="00724F5A" w:rsidRDefault="00724F5A" w:rsidP="00724F5A">
      <w:pPr>
        <w:pStyle w:val="Title"/>
        <w:spacing w:line="240" w:lineRule="auto"/>
        <w:rPr>
          <w:szCs w:val="24"/>
          <w:u w:val="none"/>
        </w:rPr>
      </w:pPr>
    </w:p>
    <w:p w14:paraId="344FBC19" w14:textId="77777777" w:rsidR="00724F5A" w:rsidRDefault="00724F5A" w:rsidP="00724F5A">
      <w:pPr>
        <w:pStyle w:val="Title"/>
        <w:spacing w:line="240" w:lineRule="auto"/>
        <w:rPr>
          <w:szCs w:val="24"/>
          <w:u w:val="none"/>
        </w:rPr>
      </w:pPr>
    </w:p>
    <w:p w14:paraId="4765D1DF" w14:textId="77777777" w:rsidR="00724F5A" w:rsidRDefault="00724F5A" w:rsidP="00724F5A">
      <w:pPr>
        <w:pStyle w:val="Title"/>
        <w:spacing w:line="240" w:lineRule="auto"/>
        <w:rPr>
          <w:szCs w:val="24"/>
          <w:u w:val="none"/>
        </w:rPr>
      </w:pPr>
    </w:p>
    <w:p w14:paraId="29DF2957" w14:textId="77777777" w:rsidR="00724F5A" w:rsidRDefault="00724F5A" w:rsidP="00724F5A">
      <w:pPr>
        <w:pStyle w:val="Title"/>
        <w:spacing w:line="240" w:lineRule="auto"/>
        <w:rPr>
          <w:szCs w:val="24"/>
          <w:u w:val="none"/>
        </w:rPr>
      </w:pPr>
    </w:p>
    <w:p w14:paraId="7141AFF1" w14:textId="77777777" w:rsidR="00724F5A" w:rsidRDefault="00724F5A" w:rsidP="00724F5A">
      <w:pPr>
        <w:pStyle w:val="Title"/>
        <w:spacing w:line="240" w:lineRule="auto"/>
        <w:rPr>
          <w:szCs w:val="24"/>
          <w:u w:val="none"/>
        </w:rPr>
      </w:pPr>
    </w:p>
    <w:p w14:paraId="00079961" w14:textId="77777777" w:rsidR="00724F5A" w:rsidRDefault="00724F5A" w:rsidP="00724F5A">
      <w:pPr>
        <w:pStyle w:val="Title"/>
        <w:spacing w:line="240" w:lineRule="auto"/>
        <w:rPr>
          <w:szCs w:val="24"/>
          <w:u w:val="none"/>
        </w:rPr>
      </w:pPr>
    </w:p>
    <w:p w14:paraId="71EFE1C5" w14:textId="77777777" w:rsidR="00724F5A" w:rsidRDefault="00724F5A" w:rsidP="00724F5A">
      <w:pPr>
        <w:pStyle w:val="Title"/>
        <w:spacing w:line="240" w:lineRule="auto"/>
        <w:rPr>
          <w:szCs w:val="24"/>
          <w:u w:val="none"/>
        </w:rPr>
      </w:pPr>
    </w:p>
    <w:p w14:paraId="2EB3EBB2" w14:textId="1B20EA8B" w:rsidR="00724F5A" w:rsidRDefault="007534E8" w:rsidP="00724F5A">
      <w:pPr>
        <w:pStyle w:val="Title"/>
        <w:spacing w:line="240" w:lineRule="auto"/>
        <w:rPr>
          <w:szCs w:val="24"/>
          <w:u w:val="none"/>
        </w:rPr>
      </w:pPr>
      <w:r>
        <w:rPr>
          <w:szCs w:val="24"/>
          <w:u w:val="none"/>
        </w:rPr>
        <w:t xml:space="preserve"> MARCH </w:t>
      </w:r>
      <w:r w:rsidR="00922A99">
        <w:rPr>
          <w:szCs w:val="24"/>
          <w:u w:val="none"/>
        </w:rPr>
        <w:t>2024</w:t>
      </w:r>
    </w:p>
    <w:p w14:paraId="446EF389" w14:textId="77777777" w:rsidR="007D2CEE" w:rsidRPr="00DD31F8" w:rsidRDefault="007D2CEE" w:rsidP="00724F5A">
      <w:pPr>
        <w:pStyle w:val="Title"/>
        <w:spacing w:before="360" w:line="240" w:lineRule="auto"/>
        <w:jc w:val="left"/>
        <w:rPr>
          <w:szCs w:val="24"/>
          <w:u w:val="none"/>
        </w:rPr>
      </w:pPr>
    </w:p>
    <w:p w14:paraId="6F819E44" w14:textId="77777777" w:rsidR="00DD31F8" w:rsidRDefault="00DD31F8" w:rsidP="00F74AB7">
      <w:pPr>
        <w:pStyle w:val="Title"/>
        <w:suppressLineNumbers/>
        <w:spacing w:line="240" w:lineRule="auto"/>
        <w:sectPr w:rsidR="00DD31F8" w:rsidSect="007534E8">
          <w:headerReference w:type="first" r:id="rId8"/>
          <w:type w:val="continuous"/>
          <w:pgSz w:w="12240" w:h="15840" w:code="1"/>
          <w:pgMar w:top="1440" w:right="1440" w:bottom="1440" w:left="2160" w:header="720" w:footer="720" w:gutter="0"/>
          <w:pgNumType w:start="1"/>
          <w:cols w:space="720"/>
        </w:sectPr>
      </w:pPr>
    </w:p>
    <w:p w14:paraId="5AA18C30" w14:textId="2AF7A8FD" w:rsidR="007E1B1A" w:rsidRDefault="73E4C732" w:rsidP="00293E41">
      <w:pPr>
        <w:pStyle w:val="Title"/>
        <w:spacing w:after="240" w:line="240" w:lineRule="auto"/>
      </w:pPr>
      <w:r>
        <w:lastRenderedPageBreak/>
        <w:t xml:space="preserve">TABLE OF </w:t>
      </w:r>
      <w:r w:rsidR="5C2C7EE0">
        <w:t>CONTENTS</w:t>
      </w:r>
    </w:p>
    <w:sdt>
      <w:sdtPr>
        <w:id w:val="-1840075890"/>
        <w:docPartObj>
          <w:docPartGallery w:val="Table of Contents"/>
          <w:docPartUnique/>
        </w:docPartObj>
      </w:sdtPr>
      <w:sdtEndPr>
        <w:rPr>
          <w:b/>
          <w:bCs/>
          <w:noProof/>
        </w:rPr>
      </w:sdtEndPr>
      <w:sdtContent>
        <w:p w14:paraId="0C149384" w14:textId="77777777" w:rsidR="005027A0" w:rsidRPr="005027A0" w:rsidRDefault="005027A0" w:rsidP="005027A0">
          <w:pPr>
            <w:jc w:val="center"/>
            <w:rPr>
              <w:rFonts w:eastAsia="MS Mincho"/>
              <w:b/>
              <w:szCs w:val="24"/>
              <w:u w:val="single"/>
            </w:rPr>
          </w:pPr>
        </w:p>
        <w:p w14:paraId="0C6BF949" w14:textId="77777777" w:rsidR="005027A0" w:rsidRPr="005027A0" w:rsidRDefault="005027A0" w:rsidP="005027A0">
          <w:pPr>
            <w:widowControl w:val="0"/>
            <w:tabs>
              <w:tab w:val="left" w:pos="540"/>
              <w:tab w:val="right" w:leader="dot" w:pos="8640"/>
            </w:tabs>
            <w:spacing w:line="480" w:lineRule="auto"/>
            <w:ind w:left="540" w:hanging="540"/>
            <w:rPr>
              <w:noProof/>
              <w:szCs w:val="24"/>
            </w:rPr>
          </w:pPr>
          <w:hyperlink w:anchor="_Toc264712464" w:history="1">
            <w:r w:rsidRPr="005027A0">
              <w:rPr>
                <w:noProof/>
                <w:szCs w:val="24"/>
              </w:rPr>
              <w:t>EXECUTIVE SUMMARY</w:t>
            </w:r>
            <w:r w:rsidRPr="005027A0">
              <w:rPr>
                <w:noProof/>
                <w:webHidden/>
                <w:szCs w:val="24"/>
              </w:rPr>
              <w:tab/>
              <w:t>ES-</w:t>
            </w:r>
          </w:hyperlink>
          <w:r w:rsidRPr="005027A0">
            <w:rPr>
              <w:noProof/>
              <w:szCs w:val="24"/>
            </w:rPr>
            <w:t xml:space="preserve">1 </w:t>
          </w:r>
        </w:p>
        <w:p w14:paraId="3034F0F6" w14:textId="1D87643A" w:rsidR="005027A0" w:rsidRDefault="005027A0">
          <w:pPr>
            <w:pStyle w:val="TOC1"/>
            <w:rPr>
              <w:rFonts w:asciiTheme="minorHAnsi" w:eastAsiaTheme="minorEastAsia" w:hAnsiTheme="minorHAnsi" w:cstheme="minorBidi"/>
              <w:kern w:val="2"/>
              <w:sz w:val="22"/>
              <w:szCs w:val="22"/>
              <w14:ligatures w14:val="standardContextual"/>
            </w:rPr>
          </w:pPr>
          <w:r>
            <w:fldChar w:fldCharType="begin"/>
          </w:r>
          <w:r>
            <w:instrText xml:space="preserve"> TOC \o "1-3" \h \z \u </w:instrText>
          </w:r>
          <w:r>
            <w:fldChar w:fldCharType="separate"/>
          </w:r>
          <w:hyperlink w:anchor="_Toc159434273" w:history="1">
            <w:r w:rsidRPr="00D87167">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2"/>
                <w:szCs w:val="22"/>
                <w14:ligatures w14:val="standardContextual"/>
              </w:rPr>
              <w:tab/>
            </w:r>
            <w:r w:rsidRPr="00D87167">
              <w:rPr>
                <w:rStyle w:val="Hyperlink"/>
              </w:rPr>
              <w:t>INTRODUCTION AND QUALIFICATIONS</w:t>
            </w:r>
            <w:r>
              <w:rPr>
                <w:webHidden/>
              </w:rPr>
              <w:tab/>
            </w:r>
            <w:r>
              <w:rPr>
                <w:webHidden/>
              </w:rPr>
              <w:fldChar w:fldCharType="begin"/>
            </w:r>
            <w:r>
              <w:rPr>
                <w:webHidden/>
              </w:rPr>
              <w:instrText xml:space="preserve"> PAGEREF _Toc159434273 \h </w:instrText>
            </w:r>
            <w:r>
              <w:rPr>
                <w:webHidden/>
              </w:rPr>
            </w:r>
            <w:r>
              <w:rPr>
                <w:webHidden/>
              </w:rPr>
              <w:fldChar w:fldCharType="separate"/>
            </w:r>
            <w:r>
              <w:rPr>
                <w:webHidden/>
              </w:rPr>
              <w:t>1</w:t>
            </w:r>
            <w:r>
              <w:rPr>
                <w:webHidden/>
              </w:rPr>
              <w:fldChar w:fldCharType="end"/>
            </w:r>
          </w:hyperlink>
        </w:p>
        <w:p w14:paraId="7A0CCDBA" w14:textId="2B6CAF5F" w:rsidR="005027A0" w:rsidRDefault="005027A0">
          <w:pPr>
            <w:pStyle w:val="TOC1"/>
            <w:rPr>
              <w:rFonts w:asciiTheme="minorHAnsi" w:eastAsiaTheme="minorEastAsia" w:hAnsiTheme="minorHAnsi" w:cstheme="minorBidi"/>
              <w:kern w:val="2"/>
              <w:sz w:val="22"/>
              <w:szCs w:val="22"/>
              <w14:ligatures w14:val="standardContextual"/>
            </w:rPr>
          </w:pPr>
          <w:hyperlink w:anchor="_Toc159434274" w:history="1">
            <w:r w:rsidRPr="00D87167">
              <w:rPr>
                <w:rStyle w:val="Hyperlink"/>
                <w14:scene3d>
                  <w14:camera w14:prst="orthographicFront"/>
                  <w14:lightRig w14:rig="threePt" w14:dir="t">
                    <w14:rot w14:lat="0" w14:lon="0" w14:rev="0"/>
                  </w14:lightRig>
                </w14:scene3d>
              </w:rPr>
              <w:t>II.</w:t>
            </w:r>
            <w:r>
              <w:rPr>
                <w:rFonts w:asciiTheme="minorHAnsi" w:eastAsiaTheme="minorEastAsia" w:hAnsiTheme="minorHAnsi" w:cstheme="minorBidi"/>
                <w:kern w:val="2"/>
                <w:sz w:val="22"/>
                <w:szCs w:val="22"/>
                <w14:ligatures w14:val="standardContextual"/>
              </w:rPr>
              <w:tab/>
            </w:r>
            <w:r w:rsidRPr="00D87167">
              <w:rPr>
                <w:rStyle w:val="Hyperlink"/>
              </w:rPr>
              <w:t>SCOPE AND PURPOSE OF TESTIMONY</w:t>
            </w:r>
            <w:r>
              <w:rPr>
                <w:webHidden/>
              </w:rPr>
              <w:tab/>
            </w:r>
            <w:r>
              <w:rPr>
                <w:webHidden/>
              </w:rPr>
              <w:fldChar w:fldCharType="begin"/>
            </w:r>
            <w:r>
              <w:rPr>
                <w:webHidden/>
              </w:rPr>
              <w:instrText xml:space="preserve"> PAGEREF _Toc159434274 \h </w:instrText>
            </w:r>
            <w:r>
              <w:rPr>
                <w:webHidden/>
              </w:rPr>
            </w:r>
            <w:r>
              <w:rPr>
                <w:webHidden/>
              </w:rPr>
              <w:fldChar w:fldCharType="separate"/>
            </w:r>
            <w:r>
              <w:rPr>
                <w:webHidden/>
              </w:rPr>
              <w:t>2</w:t>
            </w:r>
            <w:r>
              <w:rPr>
                <w:webHidden/>
              </w:rPr>
              <w:fldChar w:fldCharType="end"/>
            </w:r>
          </w:hyperlink>
        </w:p>
        <w:p w14:paraId="583D59E5" w14:textId="64F193B9" w:rsidR="005027A0" w:rsidRDefault="005027A0">
          <w:pPr>
            <w:pStyle w:val="TOC1"/>
            <w:rPr>
              <w:rFonts w:asciiTheme="minorHAnsi" w:eastAsiaTheme="minorEastAsia" w:hAnsiTheme="minorHAnsi" w:cstheme="minorBidi"/>
              <w:kern w:val="2"/>
              <w:sz w:val="22"/>
              <w:szCs w:val="22"/>
              <w14:ligatures w14:val="standardContextual"/>
            </w:rPr>
          </w:pPr>
          <w:hyperlink w:anchor="_Toc159434275" w:history="1">
            <w:r w:rsidRPr="00D87167">
              <w:rPr>
                <w:rStyle w:val="Hyperlink"/>
                <w:rFonts w:eastAsiaTheme="majorEastAsia"/>
                <w14:scene3d>
                  <w14:camera w14:prst="orthographicFront"/>
                  <w14:lightRig w14:rig="threePt" w14:dir="t">
                    <w14:rot w14:lat="0" w14:lon="0" w14:rev="0"/>
                  </w14:lightRig>
                </w14:scene3d>
              </w:rPr>
              <w:t>III.</w:t>
            </w:r>
            <w:r>
              <w:rPr>
                <w:rFonts w:asciiTheme="minorHAnsi" w:eastAsiaTheme="minorEastAsia" w:hAnsiTheme="minorHAnsi" w:cstheme="minorBidi"/>
                <w:kern w:val="2"/>
                <w:sz w:val="22"/>
                <w:szCs w:val="22"/>
                <w14:ligatures w14:val="standardContextual"/>
              </w:rPr>
              <w:tab/>
            </w:r>
            <w:r w:rsidRPr="00D87167">
              <w:rPr>
                <w:rStyle w:val="Hyperlink"/>
              </w:rPr>
              <w:t>FINANCIAL INTEGRITY AND CREDIT RATINGS</w:t>
            </w:r>
            <w:r>
              <w:rPr>
                <w:webHidden/>
              </w:rPr>
              <w:tab/>
            </w:r>
            <w:r>
              <w:rPr>
                <w:webHidden/>
              </w:rPr>
              <w:fldChar w:fldCharType="begin"/>
            </w:r>
            <w:r>
              <w:rPr>
                <w:webHidden/>
              </w:rPr>
              <w:instrText xml:space="preserve"> PAGEREF _Toc159434275 \h </w:instrText>
            </w:r>
            <w:r>
              <w:rPr>
                <w:webHidden/>
              </w:rPr>
            </w:r>
            <w:r>
              <w:rPr>
                <w:webHidden/>
              </w:rPr>
              <w:fldChar w:fldCharType="separate"/>
            </w:r>
            <w:r>
              <w:rPr>
                <w:webHidden/>
              </w:rPr>
              <w:t>4</w:t>
            </w:r>
            <w:r>
              <w:rPr>
                <w:webHidden/>
              </w:rPr>
              <w:fldChar w:fldCharType="end"/>
            </w:r>
          </w:hyperlink>
        </w:p>
        <w:p w14:paraId="44AE93D0" w14:textId="26099948" w:rsidR="005027A0" w:rsidRDefault="005027A0">
          <w:pPr>
            <w:pStyle w:val="TOC2"/>
            <w:rPr>
              <w:rFonts w:asciiTheme="minorHAnsi" w:eastAsiaTheme="minorEastAsia" w:hAnsiTheme="minorHAnsi" w:cstheme="minorBidi"/>
              <w:noProof/>
              <w:kern w:val="2"/>
              <w:sz w:val="22"/>
              <w:szCs w:val="22"/>
              <w14:ligatures w14:val="standardContextual"/>
            </w:rPr>
          </w:pPr>
          <w:hyperlink w:anchor="_Toc159434276" w:history="1">
            <w:r w:rsidRPr="00D87167">
              <w:rPr>
                <w:rStyle w:val="Hyperlink"/>
                <w:bCs/>
                <w:noProof/>
                <w14:scene3d>
                  <w14:camera w14:prst="orthographicFront"/>
                  <w14:lightRig w14:rig="threePt" w14:dir="t">
                    <w14:rot w14:lat="0" w14:lon="0" w14:rev="0"/>
                  </w14:lightRig>
                </w14:scene3d>
              </w:rPr>
              <w:t>A.</w:t>
            </w:r>
            <w:r>
              <w:rPr>
                <w:rFonts w:asciiTheme="minorHAnsi" w:eastAsiaTheme="minorEastAsia" w:hAnsiTheme="minorHAnsi" w:cstheme="minorBidi"/>
                <w:noProof/>
                <w:kern w:val="2"/>
                <w:sz w:val="22"/>
                <w:szCs w:val="22"/>
                <w14:ligatures w14:val="standardContextual"/>
              </w:rPr>
              <w:tab/>
            </w:r>
            <w:r w:rsidRPr="00D87167">
              <w:rPr>
                <w:rStyle w:val="Hyperlink"/>
                <w:noProof/>
              </w:rPr>
              <w:t>Rating Agency Criteria and Methodologies</w:t>
            </w:r>
            <w:r>
              <w:rPr>
                <w:noProof/>
                <w:webHidden/>
              </w:rPr>
              <w:tab/>
            </w:r>
            <w:r>
              <w:rPr>
                <w:noProof/>
                <w:webHidden/>
              </w:rPr>
              <w:fldChar w:fldCharType="begin"/>
            </w:r>
            <w:r>
              <w:rPr>
                <w:noProof/>
                <w:webHidden/>
              </w:rPr>
              <w:instrText xml:space="preserve"> PAGEREF _Toc159434276 \h </w:instrText>
            </w:r>
            <w:r>
              <w:rPr>
                <w:noProof/>
                <w:webHidden/>
              </w:rPr>
            </w:r>
            <w:r>
              <w:rPr>
                <w:noProof/>
                <w:webHidden/>
              </w:rPr>
              <w:fldChar w:fldCharType="separate"/>
            </w:r>
            <w:r>
              <w:rPr>
                <w:noProof/>
                <w:webHidden/>
              </w:rPr>
              <w:t>4</w:t>
            </w:r>
            <w:r>
              <w:rPr>
                <w:noProof/>
                <w:webHidden/>
              </w:rPr>
              <w:fldChar w:fldCharType="end"/>
            </w:r>
          </w:hyperlink>
        </w:p>
        <w:p w14:paraId="7869626F" w14:textId="69DCA3E2" w:rsidR="005027A0" w:rsidRDefault="005027A0">
          <w:pPr>
            <w:pStyle w:val="TOC1"/>
            <w:rPr>
              <w:rFonts w:asciiTheme="minorHAnsi" w:eastAsiaTheme="minorEastAsia" w:hAnsiTheme="minorHAnsi" w:cstheme="minorBidi"/>
              <w:kern w:val="2"/>
              <w:sz w:val="22"/>
              <w:szCs w:val="22"/>
              <w14:ligatures w14:val="standardContextual"/>
            </w:rPr>
          </w:pPr>
          <w:hyperlink w:anchor="_Toc159434277" w:history="1">
            <w:r w:rsidRPr="00D87167">
              <w:rPr>
                <w:rStyle w:val="Hyperlink"/>
                <w14:scene3d>
                  <w14:camera w14:prst="orthographicFront"/>
                  <w14:lightRig w14:rig="threePt" w14:dir="t">
                    <w14:rot w14:lat="0" w14:lon="0" w14:rev="0"/>
                  </w14:lightRig>
                </w14:scene3d>
              </w:rPr>
              <w:t>IV.</w:t>
            </w:r>
            <w:r>
              <w:rPr>
                <w:rFonts w:asciiTheme="minorHAnsi" w:eastAsiaTheme="minorEastAsia" w:hAnsiTheme="minorHAnsi" w:cstheme="minorBidi"/>
                <w:kern w:val="2"/>
                <w:sz w:val="22"/>
                <w:szCs w:val="22"/>
                <w14:ligatures w14:val="standardContextual"/>
              </w:rPr>
              <w:tab/>
            </w:r>
            <w:r w:rsidRPr="00D87167">
              <w:rPr>
                <w:rStyle w:val="Hyperlink"/>
              </w:rPr>
              <w:t>REASONABLENESS OF 44.90% EQUITY RATIO OR GREATER</w:t>
            </w:r>
            <w:r>
              <w:rPr>
                <w:webHidden/>
              </w:rPr>
              <w:tab/>
            </w:r>
            <w:r>
              <w:rPr>
                <w:webHidden/>
              </w:rPr>
              <w:fldChar w:fldCharType="begin"/>
            </w:r>
            <w:r>
              <w:rPr>
                <w:webHidden/>
              </w:rPr>
              <w:instrText xml:space="preserve"> PAGEREF _Toc159434277 \h </w:instrText>
            </w:r>
            <w:r>
              <w:rPr>
                <w:webHidden/>
              </w:rPr>
            </w:r>
            <w:r>
              <w:rPr>
                <w:webHidden/>
              </w:rPr>
              <w:fldChar w:fldCharType="separate"/>
            </w:r>
            <w:r>
              <w:rPr>
                <w:webHidden/>
              </w:rPr>
              <w:t>16</w:t>
            </w:r>
            <w:r>
              <w:rPr>
                <w:webHidden/>
              </w:rPr>
              <w:fldChar w:fldCharType="end"/>
            </w:r>
          </w:hyperlink>
        </w:p>
        <w:p w14:paraId="7DF22E49" w14:textId="0814230B" w:rsidR="005027A0" w:rsidRDefault="005027A0">
          <w:pPr>
            <w:pStyle w:val="TOC2"/>
            <w:rPr>
              <w:rFonts w:asciiTheme="minorHAnsi" w:eastAsiaTheme="minorEastAsia" w:hAnsiTheme="minorHAnsi" w:cstheme="minorBidi"/>
              <w:noProof/>
              <w:kern w:val="2"/>
              <w:sz w:val="22"/>
              <w:szCs w:val="22"/>
              <w14:ligatures w14:val="standardContextual"/>
            </w:rPr>
          </w:pPr>
          <w:hyperlink w:anchor="_Toc159434278" w:history="1">
            <w:r w:rsidRPr="00D87167">
              <w:rPr>
                <w:rStyle w:val="Hyperlink"/>
                <w:bCs/>
                <w:noProof/>
                <w14:scene3d>
                  <w14:camera w14:prst="orthographicFront"/>
                  <w14:lightRig w14:rig="threePt" w14:dir="t">
                    <w14:rot w14:lat="0" w14:lon="0" w14:rev="0"/>
                  </w14:lightRig>
                </w14:scene3d>
              </w:rPr>
              <w:t>A.</w:t>
            </w:r>
            <w:r>
              <w:rPr>
                <w:rFonts w:asciiTheme="minorHAnsi" w:eastAsiaTheme="minorEastAsia" w:hAnsiTheme="minorHAnsi" w:cstheme="minorBidi"/>
                <w:noProof/>
                <w:kern w:val="2"/>
                <w:sz w:val="22"/>
                <w:szCs w:val="22"/>
                <w14:ligatures w14:val="standardContextual"/>
              </w:rPr>
              <w:tab/>
            </w:r>
            <w:r w:rsidRPr="00D87167">
              <w:rPr>
                <w:rStyle w:val="Hyperlink"/>
                <w:noProof/>
              </w:rPr>
              <w:t>Business and Regulatory Risks</w:t>
            </w:r>
            <w:r>
              <w:rPr>
                <w:noProof/>
                <w:webHidden/>
              </w:rPr>
              <w:tab/>
            </w:r>
            <w:r>
              <w:rPr>
                <w:noProof/>
                <w:webHidden/>
              </w:rPr>
              <w:fldChar w:fldCharType="begin"/>
            </w:r>
            <w:r>
              <w:rPr>
                <w:noProof/>
                <w:webHidden/>
              </w:rPr>
              <w:instrText xml:space="preserve"> PAGEREF _Toc159434278 \h </w:instrText>
            </w:r>
            <w:r>
              <w:rPr>
                <w:noProof/>
                <w:webHidden/>
              </w:rPr>
            </w:r>
            <w:r>
              <w:rPr>
                <w:noProof/>
                <w:webHidden/>
              </w:rPr>
              <w:fldChar w:fldCharType="separate"/>
            </w:r>
            <w:r>
              <w:rPr>
                <w:noProof/>
                <w:webHidden/>
              </w:rPr>
              <w:t>17</w:t>
            </w:r>
            <w:r>
              <w:rPr>
                <w:noProof/>
                <w:webHidden/>
              </w:rPr>
              <w:fldChar w:fldCharType="end"/>
            </w:r>
          </w:hyperlink>
        </w:p>
        <w:p w14:paraId="4EE6B15C" w14:textId="5C3B3182" w:rsidR="005027A0" w:rsidRDefault="005027A0">
          <w:pPr>
            <w:pStyle w:val="TOC2"/>
            <w:rPr>
              <w:rFonts w:asciiTheme="minorHAnsi" w:eastAsiaTheme="minorEastAsia" w:hAnsiTheme="minorHAnsi" w:cstheme="minorBidi"/>
              <w:noProof/>
              <w:kern w:val="2"/>
              <w:sz w:val="22"/>
              <w:szCs w:val="22"/>
              <w14:ligatures w14:val="standardContextual"/>
            </w:rPr>
          </w:pPr>
          <w:hyperlink w:anchor="_Toc159434279" w:history="1">
            <w:r w:rsidRPr="00D87167">
              <w:rPr>
                <w:rStyle w:val="Hyperlink"/>
                <w:bCs/>
                <w:noProof/>
                <w14:scene3d>
                  <w14:camera w14:prst="orthographicFront"/>
                  <w14:lightRig w14:rig="threePt" w14:dir="t">
                    <w14:rot w14:lat="0" w14:lon="0" w14:rev="0"/>
                  </w14:lightRig>
                </w14:scene3d>
              </w:rPr>
              <w:t>B.</w:t>
            </w:r>
            <w:r>
              <w:rPr>
                <w:rFonts w:asciiTheme="minorHAnsi" w:eastAsiaTheme="minorEastAsia" w:hAnsiTheme="minorHAnsi" w:cstheme="minorBidi"/>
                <w:noProof/>
                <w:kern w:val="2"/>
                <w:sz w:val="22"/>
                <w:szCs w:val="22"/>
                <w14:ligatures w14:val="standardContextual"/>
              </w:rPr>
              <w:tab/>
            </w:r>
            <w:r w:rsidRPr="00D87167">
              <w:rPr>
                <w:rStyle w:val="Hyperlink"/>
                <w:noProof/>
              </w:rPr>
              <w:t>Need for a Capital Structure that Supports an A3 Issuer</w:t>
            </w:r>
            <w:r>
              <w:rPr>
                <w:noProof/>
                <w:webHidden/>
              </w:rPr>
              <w:tab/>
            </w:r>
            <w:r>
              <w:rPr>
                <w:noProof/>
                <w:webHidden/>
              </w:rPr>
              <w:fldChar w:fldCharType="begin"/>
            </w:r>
            <w:r>
              <w:rPr>
                <w:noProof/>
                <w:webHidden/>
              </w:rPr>
              <w:instrText xml:space="preserve"> PAGEREF _Toc159434279 \h </w:instrText>
            </w:r>
            <w:r>
              <w:rPr>
                <w:noProof/>
                <w:webHidden/>
              </w:rPr>
            </w:r>
            <w:r>
              <w:rPr>
                <w:noProof/>
                <w:webHidden/>
              </w:rPr>
              <w:fldChar w:fldCharType="separate"/>
            </w:r>
            <w:r>
              <w:rPr>
                <w:noProof/>
                <w:webHidden/>
              </w:rPr>
              <w:t>23</w:t>
            </w:r>
            <w:r>
              <w:rPr>
                <w:noProof/>
                <w:webHidden/>
              </w:rPr>
              <w:fldChar w:fldCharType="end"/>
            </w:r>
          </w:hyperlink>
        </w:p>
        <w:p w14:paraId="032F0698" w14:textId="474EF764" w:rsidR="005027A0" w:rsidRDefault="005027A0">
          <w:pPr>
            <w:pStyle w:val="TOC2"/>
            <w:rPr>
              <w:rFonts w:asciiTheme="minorHAnsi" w:eastAsiaTheme="minorEastAsia" w:hAnsiTheme="minorHAnsi" w:cstheme="minorBidi"/>
              <w:noProof/>
              <w:kern w:val="2"/>
              <w:sz w:val="22"/>
              <w:szCs w:val="22"/>
              <w14:ligatures w14:val="standardContextual"/>
            </w:rPr>
          </w:pPr>
          <w:hyperlink w:anchor="_Toc159434280" w:history="1">
            <w:r w:rsidRPr="00D87167">
              <w:rPr>
                <w:rStyle w:val="Hyperlink"/>
                <w:bCs/>
                <w:noProof/>
                <w14:scene3d>
                  <w14:camera w14:prst="orthographicFront"/>
                  <w14:lightRig w14:rig="threePt" w14:dir="t">
                    <w14:rot w14:lat="0" w14:lon="0" w14:rev="0"/>
                  </w14:lightRig>
                </w14:scene3d>
              </w:rPr>
              <w:t>C.</w:t>
            </w:r>
            <w:r>
              <w:rPr>
                <w:rFonts w:asciiTheme="minorHAnsi" w:eastAsiaTheme="minorEastAsia" w:hAnsiTheme="minorHAnsi" w:cstheme="minorBidi"/>
                <w:noProof/>
                <w:kern w:val="2"/>
                <w:sz w:val="22"/>
                <w:szCs w:val="22"/>
                <w14:ligatures w14:val="standardContextual"/>
              </w:rPr>
              <w:tab/>
            </w:r>
            <w:r w:rsidRPr="00D87167">
              <w:rPr>
                <w:rStyle w:val="Hyperlink"/>
                <w:noProof/>
              </w:rPr>
              <w:t>Summary of Capital Structure Recommendation</w:t>
            </w:r>
            <w:r>
              <w:rPr>
                <w:noProof/>
                <w:webHidden/>
              </w:rPr>
              <w:tab/>
            </w:r>
            <w:r>
              <w:rPr>
                <w:noProof/>
                <w:webHidden/>
              </w:rPr>
              <w:fldChar w:fldCharType="begin"/>
            </w:r>
            <w:r>
              <w:rPr>
                <w:noProof/>
                <w:webHidden/>
              </w:rPr>
              <w:instrText xml:space="preserve"> PAGEREF _Toc159434280 \h </w:instrText>
            </w:r>
            <w:r>
              <w:rPr>
                <w:noProof/>
                <w:webHidden/>
              </w:rPr>
            </w:r>
            <w:r>
              <w:rPr>
                <w:noProof/>
                <w:webHidden/>
              </w:rPr>
              <w:fldChar w:fldCharType="separate"/>
            </w:r>
            <w:r>
              <w:rPr>
                <w:noProof/>
                <w:webHidden/>
              </w:rPr>
              <w:t>25</w:t>
            </w:r>
            <w:r>
              <w:rPr>
                <w:noProof/>
                <w:webHidden/>
              </w:rPr>
              <w:fldChar w:fldCharType="end"/>
            </w:r>
          </w:hyperlink>
        </w:p>
        <w:p w14:paraId="3E1CA579" w14:textId="3265D243" w:rsidR="005027A0" w:rsidRDefault="005027A0">
          <w:pPr>
            <w:pStyle w:val="TOC1"/>
            <w:rPr>
              <w:rFonts w:asciiTheme="minorHAnsi" w:eastAsiaTheme="minorEastAsia" w:hAnsiTheme="minorHAnsi" w:cstheme="minorBidi"/>
              <w:kern w:val="2"/>
              <w:sz w:val="22"/>
              <w:szCs w:val="22"/>
              <w14:ligatures w14:val="standardContextual"/>
            </w:rPr>
          </w:pPr>
          <w:hyperlink w:anchor="_Toc159434281" w:history="1">
            <w:r w:rsidRPr="00D87167">
              <w:rPr>
                <w:rStyle w:val="Hyperlink"/>
                <w14:scene3d>
                  <w14:camera w14:prst="orthographicFront"/>
                  <w14:lightRig w14:rig="threePt" w14:dir="t">
                    <w14:rot w14:lat="0" w14:lon="0" w14:rev="0"/>
                  </w14:lightRig>
                </w14:scene3d>
              </w:rPr>
              <w:t>V.</w:t>
            </w:r>
            <w:r>
              <w:rPr>
                <w:rFonts w:asciiTheme="minorHAnsi" w:eastAsiaTheme="minorEastAsia" w:hAnsiTheme="minorHAnsi" w:cstheme="minorBidi"/>
                <w:kern w:val="2"/>
                <w:sz w:val="22"/>
                <w:szCs w:val="22"/>
                <w14:ligatures w14:val="standardContextual"/>
              </w:rPr>
              <w:tab/>
            </w:r>
            <w:r w:rsidRPr="00D87167">
              <w:rPr>
                <w:rStyle w:val="Hyperlink"/>
              </w:rPr>
              <w:t>COST OF DEBT CAPITAL</w:t>
            </w:r>
            <w:r>
              <w:rPr>
                <w:webHidden/>
              </w:rPr>
              <w:tab/>
            </w:r>
            <w:r>
              <w:rPr>
                <w:webHidden/>
              </w:rPr>
              <w:fldChar w:fldCharType="begin"/>
            </w:r>
            <w:r>
              <w:rPr>
                <w:webHidden/>
              </w:rPr>
              <w:instrText xml:space="preserve"> PAGEREF _Toc159434281 \h </w:instrText>
            </w:r>
            <w:r>
              <w:rPr>
                <w:webHidden/>
              </w:rPr>
            </w:r>
            <w:r>
              <w:rPr>
                <w:webHidden/>
              </w:rPr>
              <w:fldChar w:fldCharType="separate"/>
            </w:r>
            <w:r>
              <w:rPr>
                <w:webHidden/>
              </w:rPr>
              <w:t>26</w:t>
            </w:r>
            <w:r>
              <w:rPr>
                <w:webHidden/>
              </w:rPr>
              <w:fldChar w:fldCharType="end"/>
            </w:r>
          </w:hyperlink>
        </w:p>
        <w:p w14:paraId="6C04EBE6" w14:textId="26036213" w:rsidR="005027A0" w:rsidRDefault="005027A0">
          <w:pPr>
            <w:pStyle w:val="TOC1"/>
            <w:rPr>
              <w:rFonts w:asciiTheme="minorHAnsi" w:eastAsiaTheme="minorEastAsia" w:hAnsiTheme="minorHAnsi" w:cstheme="minorBidi"/>
              <w:kern w:val="2"/>
              <w:sz w:val="22"/>
              <w:szCs w:val="22"/>
              <w14:ligatures w14:val="standardContextual"/>
            </w:rPr>
          </w:pPr>
          <w:hyperlink w:anchor="_Toc159434282" w:history="1">
            <w:r w:rsidRPr="00D87167">
              <w:rPr>
                <w:rStyle w:val="Hyperlink"/>
                <w14:scene3d>
                  <w14:camera w14:prst="orthographicFront"/>
                  <w14:lightRig w14:rig="threePt" w14:dir="t">
                    <w14:rot w14:lat="0" w14:lon="0" w14:rev="0"/>
                  </w14:lightRig>
                </w14:scene3d>
              </w:rPr>
              <w:t>VI.</w:t>
            </w:r>
            <w:r>
              <w:rPr>
                <w:rFonts w:asciiTheme="minorHAnsi" w:eastAsiaTheme="minorEastAsia" w:hAnsiTheme="minorHAnsi" w:cstheme="minorBidi"/>
                <w:kern w:val="2"/>
                <w:sz w:val="22"/>
                <w:szCs w:val="22"/>
                <w14:ligatures w14:val="standardContextual"/>
              </w:rPr>
              <w:tab/>
            </w:r>
            <w:r w:rsidRPr="00D87167">
              <w:rPr>
                <w:rStyle w:val="Hyperlink"/>
              </w:rPr>
              <w:t>COST OF EQUITY CAPITAL AND RATE OF RETURN</w:t>
            </w:r>
            <w:r>
              <w:rPr>
                <w:webHidden/>
              </w:rPr>
              <w:tab/>
            </w:r>
            <w:r>
              <w:rPr>
                <w:webHidden/>
              </w:rPr>
              <w:fldChar w:fldCharType="begin"/>
            </w:r>
            <w:r>
              <w:rPr>
                <w:webHidden/>
              </w:rPr>
              <w:instrText xml:space="preserve"> PAGEREF _Toc159434282 \h </w:instrText>
            </w:r>
            <w:r>
              <w:rPr>
                <w:webHidden/>
              </w:rPr>
            </w:r>
            <w:r>
              <w:rPr>
                <w:webHidden/>
              </w:rPr>
              <w:fldChar w:fldCharType="separate"/>
            </w:r>
            <w:r>
              <w:rPr>
                <w:webHidden/>
              </w:rPr>
              <w:t>28</w:t>
            </w:r>
            <w:r>
              <w:rPr>
                <w:webHidden/>
              </w:rPr>
              <w:fldChar w:fldCharType="end"/>
            </w:r>
          </w:hyperlink>
        </w:p>
        <w:p w14:paraId="13DAB857" w14:textId="00EE4062" w:rsidR="005027A0" w:rsidRDefault="005027A0">
          <w:pPr>
            <w:pStyle w:val="TOC1"/>
            <w:rPr>
              <w:rFonts w:asciiTheme="minorHAnsi" w:eastAsiaTheme="minorEastAsia" w:hAnsiTheme="minorHAnsi" w:cstheme="minorBidi"/>
              <w:kern w:val="2"/>
              <w:sz w:val="22"/>
              <w:szCs w:val="22"/>
              <w14:ligatures w14:val="standardContextual"/>
            </w:rPr>
          </w:pPr>
          <w:hyperlink w:anchor="_Toc159434283" w:history="1">
            <w:r w:rsidRPr="00D87167">
              <w:rPr>
                <w:rStyle w:val="Hyperlink"/>
                <w14:scene3d>
                  <w14:camera w14:prst="orthographicFront"/>
                  <w14:lightRig w14:rig="threePt" w14:dir="t">
                    <w14:rot w14:lat="0" w14:lon="0" w14:rev="0"/>
                  </w14:lightRig>
                </w14:scene3d>
              </w:rPr>
              <w:t>VII.</w:t>
            </w:r>
            <w:r>
              <w:rPr>
                <w:rFonts w:asciiTheme="minorHAnsi" w:eastAsiaTheme="minorEastAsia" w:hAnsiTheme="minorHAnsi" w:cstheme="minorBidi"/>
                <w:kern w:val="2"/>
                <w:sz w:val="22"/>
                <w:szCs w:val="22"/>
                <w14:ligatures w14:val="standardContextual"/>
              </w:rPr>
              <w:tab/>
            </w:r>
            <w:r w:rsidRPr="00D87167">
              <w:rPr>
                <w:rStyle w:val="Hyperlink"/>
              </w:rPr>
              <w:t>RING FENCING PROVISIONS</w:t>
            </w:r>
            <w:r>
              <w:rPr>
                <w:webHidden/>
              </w:rPr>
              <w:tab/>
            </w:r>
            <w:r>
              <w:rPr>
                <w:webHidden/>
              </w:rPr>
              <w:fldChar w:fldCharType="begin"/>
            </w:r>
            <w:r>
              <w:rPr>
                <w:webHidden/>
              </w:rPr>
              <w:instrText xml:space="preserve"> PAGEREF _Toc159434283 \h </w:instrText>
            </w:r>
            <w:r>
              <w:rPr>
                <w:webHidden/>
              </w:rPr>
            </w:r>
            <w:r>
              <w:rPr>
                <w:webHidden/>
              </w:rPr>
              <w:fldChar w:fldCharType="separate"/>
            </w:r>
            <w:r>
              <w:rPr>
                <w:webHidden/>
              </w:rPr>
              <w:t>29</w:t>
            </w:r>
            <w:r>
              <w:rPr>
                <w:webHidden/>
              </w:rPr>
              <w:fldChar w:fldCharType="end"/>
            </w:r>
          </w:hyperlink>
        </w:p>
        <w:p w14:paraId="48DE96BB" w14:textId="0CB10FB9" w:rsidR="005027A0" w:rsidRDefault="005027A0">
          <w:pPr>
            <w:pStyle w:val="TOC1"/>
            <w:rPr>
              <w:rFonts w:asciiTheme="minorHAnsi" w:eastAsiaTheme="minorEastAsia" w:hAnsiTheme="minorHAnsi" w:cstheme="minorBidi"/>
              <w:kern w:val="2"/>
              <w:sz w:val="22"/>
              <w:szCs w:val="22"/>
              <w14:ligatures w14:val="standardContextual"/>
            </w:rPr>
          </w:pPr>
          <w:hyperlink w:anchor="_Toc159434284" w:history="1">
            <w:r w:rsidRPr="00D87167">
              <w:rPr>
                <w:rStyle w:val="Hyperlink"/>
                <w14:scene3d>
                  <w14:camera w14:prst="orthographicFront"/>
                  <w14:lightRig w14:rig="threePt" w14:dir="t">
                    <w14:rot w14:lat="0" w14:lon="0" w14:rev="0"/>
                  </w14:lightRig>
                </w14:scene3d>
              </w:rPr>
              <w:t>VIII.</w:t>
            </w:r>
            <w:r>
              <w:rPr>
                <w:rFonts w:asciiTheme="minorHAnsi" w:eastAsiaTheme="minorEastAsia" w:hAnsiTheme="minorHAnsi" w:cstheme="minorBidi"/>
                <w:kern w:val="2"/>
                <w:sz w:val="22"/>
                <w:szCs w:val="22"/>
                <w14:ligatures w14:val="standardContextual"/>
              </w:rPr>
              <w:tab/>
            </w:r>
            <w:r w:rsidRPr="00D87167">
              <w:rPr>
                <w:rStyle w:val="Hyperlink"/>
              </w:rPr>
              <w:t>TREASURY AND INVESTOR RELATIONS DEPARTMENTS’ ORGANIZATION AND OPERATING COSTS</w:t>
            </w:r>
            <w:r>
              <w:rPr>
                <w:webHidden/>
              </w:rPr>
              <w:tab/>
            </w:r>
            <w:r>
              <w:rPr>
                <w:webHidden/>
              </w:rPr>
              <w:fldChar w:fldCharType="begin"/>
            </w:r>
            <w:r>
              <w:rPr>
                <w:webHidden/>
              </w:rPr>
              <w:instrText xml:space="preserve"> PAGEREF _Toc159434284 \h </w:instrText>
            </w:r>
            <w:r>
              <w:rPr>
                <w:webHidden/>
              </w:rPr>
            </w:r>
            <w:r>
              <w:rPr>
                <w:webHidden/>
              </w:rPr>
              <w:fldChar w:fldCharType="separate"/>
            </w:r>
            <w:r>
              <w:rPr>
                <w:webHidden/>
              </w:rPr>
              <w:t>31</w:t>
            </w:r>
            <w:r>
              <w:rPr>
                <w:webHidden/>
              </w:rPr>
              <w:fldChar w:fldCharType="end"/>
            </w:r>
          </w:hyperlink>
        </w:p>
        <w:p w14:paraId="1E495575" w14:textId="07D68461" w:rsidR="005027A0" w:rsidRDefault="005027A0">
          <w:pPr>
            <w:pStyle w:val="TOC1"/>
            <w:rPr>
              <w:rFonts w:asciiTheme="minorHAnsi" w:eastAsiaTheme="minorEastAsia" w:hAnsiTheme="minorHAnsi" w:cstheme="minorBidi"/>
              <w:kern w:val="2"/>
              <w:sz w:val="22"/>
              <w:szCs w:val="22"/>
              <w14:ligatures w14:val="standardContextual"/>
            </w:rPr>
          </w:pPr>
          <w:hyperlink w:anchor="_Toc159434285" w:history="1">
            <w:r w:rsidRPr="00D87167">
              <w:rPr>
                <w:rStyle w:val="Hyperlink"/>
                <w14:scene3d>
                  <w14:camera w14:prst="orthographicFront"/>
                  <w14:lightRig w14:rig="threePt" w14:dir="t">
                    <w14:rot w14:lat="0" w14:lon="0" w14:rev="0"/>
                  </w14:lightRig>
                </w14:scene3d>
              </w:rPr>
              <w:t>IX.</w:t>
            </w:r>
            <w:r>
              <w:rPr>
                <w:rFonts w:asciiTheme="minorHAnsi" w:eastAsiaTheme="minorEastAsia" w:hAnsiTheme="minorHAnsi" w:cstheme="minorBidi"/>
                <w:kern w:val="2"/>
                <w:sz w:val="22"/>
                <w:szCs w:val="22"/>
                <w14:ligatures w14:val="standardContextual"/>
              </w:rPr>
              <w:tab/>
            </w:r>
            <w:r w:rsidRPr="00D87167">
              <w:rPr>
                <w:rStyle w:val="Hyperlink"/>
              </w:rPr>
              <w:t>CONCLUSION</w:t>
            </w:r>
            <w:r>
              <w:rPr>
                <w:webHidden/>
              </w:rPr>
              <w:tab/>
            </w:r>
            <w:r>
              <w:rPr>
                <w:webHidden/>
              </w:rPr>
              <w:fldChar w:fldCharType="begin"/>
            </w:r>
            <w:r>
              <w:rPr>
                <w:webHidden/>
              </w:rPr>
              <w:instrText xml:space="preserve"> PAGEREF _Toc159434285 \h </w:instrText>
            </w:r>
            <w:r>
              <w:rPr>
                <w:webHidden/>
              </w:rPr>
            </w:r>
            <w:r>
              <w:rPr>
                <w:webHidden/>
              </w:rPr>
              <w:fldChar w:fldCharType="separate"/>
            </w:r>
            <w:r>
              <w:rPr>
                <w:webHidden/>
              </w:rPr>
              <w:t>36</w:t>
            </w:r>
            <w:r>
              <w:rPr>
                <w:webHidden/>
              </w:rPr>
              <w:fldChar w:fldCharType="end"/>
            </w:r>
          </w:hyperlink>
        </w:p>
        <w:p w14:paraId="4B84CF7A" w14:textId="7E6034F4" w:rsidR="005027A0" w:rsidRDefault="005027A0">
          <w:r>
            <w:rPr>
              <w:b/>
              <w:bCs/>
              <w:noProof/>
            </w:rPr>
            <w:fldChar w:fldCharType="end"/>
          </w:r>
        </w:p>
      </w:sdtContent>
    </w:sdt>
    <w:p w14:paraId="333C2FD5" w14:textId="77777777" w:rsidR="005027A0" w:rsidRPr="00970FF6" w:rsidRDefault="005027A0" w:rsidP="00293E41">
      <w:pPr>
        <w:pStyle w:val="Title"/>
        <w:spacing w:after="240" w:line="240" w:lineRule="auto"/>
      </w:pPr>
    </w:p>
    <w:p w14:paraId="0BD8E246" w14:textId="77777777" w:rsidR="007534E8" w:rsidRDefault="007534E8">
      <w:pPr>
        <w:rPr>
          <w:rFonts w:eastAsiaTheme="minorHAnsi"/>
          <w:noProof/>
        </w:rPr>
        <w:sectPr w:rsidR="007534E8" w:rsidSect="00CC3D1E">
          <w:headerReference w:type="default" r:id="rId9"/>
          <w:footerReference w:type="default" r:id="rId10"/>
          <w:type w:val="continuous"/>
          <w:pgSz w:w="12240" w:h="15840" w:code="1"/>
          <w:pgMar w:top="1440" w:right="1440" w:bottom="1152" w:left="2160" w:header="720" w:footer="581" w:gutter="0"/>
          <w:pgNumType w:start="1"/>
          <w:cols w:space="720"/>
          <w:docGrid w:linePitch="326"/>
        </w:sectPr>
      </w:pPr>
    </w:p>
    <w:p w14:paraId="4268A127" w14:textId="126BD289" w:rsidR="00D21834" w:rsidRPr="00724F5A" w:rsidRDefault="00DD31F8" w:rsidP="005027A0">
      <w:pPr>
        <w:pStyle w:val="CROutline1"/>
        <w:numPr>
          <w:ilvl w:val="0"/>
          <w:numId w:val="0"/>
        </w:numPr>
        <w:ind w:left="720" w:hanging="720"/>
        <w:outlineLvl w:val="9"/>
      </w:pPr>
      <w:bookmarkStart w:id="1" w:name="_Toc158812621"/>
      <w:bookmarkStart w:id="2" w:name="_Toc159425799"/>
      <w:bookmarkStart w:id="3" w:name="_Toc159433756"/>
      <w:r w:rsidRPr="00724F5A">
        <w:lastRenderedPageBreak/>
        <w:t xml:space="preserve">LIST OF </w:t>
      </w:r>
      <w:r w:rsidR="002F5E50" w:rsidRPr="00724F5A">
        <w:t>EXHIBITS</w:t>
      </w:r>
      <w:bookmarkEnd w:id="1"/>
      <w:bookmarkEnd w:id="2"/>
      <w:bookmarkEnd w:id="3"/>
    </w:p>
    <w:p w14:paraId="23DD9256" w14:textId="77777777" w:rsidR="00261C2B" w:rsidRPr="00261C2B" w:rsidRDefault="00261C2B" w:rsidP="00261C2B">
      <w:pPr>
        <w:jc w:val="center"/>
        <w:rPr>
          <w:rFonts w:eastAsiaTheme="minorHAnsi"/>
          <w:szCs w:val="24"/>
        </w:rPr>
      </w:pPr>
    </w:p>
    <w:tbl>
      <w:tblPr>
        <w:tblStyle w:val="TableGrid1"/>
        <w:tblW w:w="87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3E133C" w:rsidRPr="00261C2B" w14:paraId="7DAAEFD2" w14:textId="77777777" w:rsidTr="00794A4C">
        <w:tc>
          <w:tcPr>
            <w:tcW w:w="2970" w:type="dxa"/>
          </w:tcPr>
          <w:p w14:paraId="24F42245" w14:textId="7303FCCB" w:rsidR="003E133C" w:rsidRPr="003E133C" w:rsidRDefault="003E133C" w:rsidP="009C23E8">
            <w:pPr>
              <w:spacing w:after="240"/>
              <w:ind w:left="0" w:right="147"/>
              <w:rPr>
                <w:b/>
                <w:bCs/>
              </w:rPr>
            </w:pPr>
            <w:r w:rsidRPr="003E133C">
              <w:rPr>
                <w:b/>
                <w:bCs/>
              </w:rPr>
              <w:t>Exhibit:</w:t>
            </w:r>
          </w:p>
        </w:tc>
        <w:tc>
          <w:tcPr>
            <w:tcW w:w="5760" w:type="dxa"/>
          </w:tcPr>
          <w:p w14:paraId="44D36A89" w14:textId="304C83A3" w:rsidR="003E133C" w:rsidRPr="003E133C" w:rsidRDefault="003E133C" w:rsidP="009C23E8">
            <w:pPr>
              <w:spacing w:after="240"/>
              <w:ind w:left="72" w:right="72"/>
              <w:rPr>
                <w:b/>
                <w:bCs/>
                <w:noProof/>
              </w:rPr>
            </w:pPr>
            <w:r w:rsidRPr="003E133C">
              <w:rPr>
                <w:b/>
                <w:bCs/>
                <w:noProof/>
              </w:rPr>
              <w:t>Description:</w:t>
            </w:r>
          </w:p>
        </w:tc>
      </w:tr>
      <w:tr w:rsidR="00512DA7" w:rsidRPr="00261C2B" w14:paraId="01073BB6" w14:textId="77777777" w:rsidTr="00794A4C">
        <w:tc>
          <w:tcPr>
            <w:tcW w:w="2970" w:type="dxa"/>
          </w:tcPr>
          <w:p w14:paraId="0609B2F4" w14:textId="0D3B4942" w:rsidR="00512DA7" w:rsidRPr="00B84829" w:rsidRDefault="00512DA7" w:rsidP="003E133C">
            <w:pPr>
              <w:spacing w:after="240"/>
              <w:ind w:left="0" w:right="147" w:hanging="15"/>
            </w:pPr>
            <w:r w:rsidRPr="00B84829">
              <w:t xml:space="preserve">Exhibit </w:t>
            </w:r>
            <w:r w:rsidR="00D0582E">
              <w:t>JRichert</w:t>
            </w:r>
            <w:r w:rsidRPr="00B84829">
              <w:t>-1</w:t>
            </w:r>
            <w:r w:rsidR="003E133C">
              <w:t>(CONF)</w:t>
            </w:r>
          </w:p>
        </w:tc>
        <w:tc>
          <w:tcPr>
            <w:tcW w:w="5760" w:type="dxa"/>
          </w:tcPr>
          <w:p w14:paraId="3D22F469" w14:textId="5FAD389A" w:rsidR="00512DA7" w:rsidRPr="00B84829" w:rsidRDefault="009D5864" w:rsidP="003E133C">
            <w:pPr>
              <w:spacing w:after="240"/>
              <w:ind w:left="72" w:right="72"/>
            </w:pPr>
            <w:r w:rsidRPr="00B84829">
              <w:rPr>
                <w:noProof/>
              </w:rPr>
              <w:t xml:space="preserve">Moody’s Investors Service, </w:t>
            </w:r>
            <w:r w:rsidR="0095585C" w:rsidRPr="00CF11D2">
              <w:rPr>
                <w:i/>
                <w:noProof/>
              </w:rPr>
              <w:t>CenterPoint Energy Houston Electric, LLC</w:t>
            </w:r>
            <w:r w:rsidR="007C291A">
              <w:rPr>
                <w:i/>
                <w:noProof/>
              </w:rPr>
              <w:t>;</w:t>
            </w:r>
            <w:r w:rsidR="0095585C" w:rsidRPr="00CF11D2">
              <w:rPr>
                <w:i/>
                <w:noProof/>
              </w:rPr>
              <w:t xml:space="preserve"> </w:t>
            </w:r>
            <w:r w:rsidR="00CD44A4" w:rsidRPr="00CF11D2">
              <w:rPr>
                <w:i/>
                <w:noProof/>
              </w:rPr>
              <w:t xml:space="preserve">Update following downgrade to Baa1 </w:t>
            </w:r>
            <w:r w:rsidR="00CD44A4" w:rsidRPr="00CF11D2">
              <w:rPr>
                <w:iCs/>
                <w:noProof/>
              </w:rPr>
              <w:t>(</w:t>
            </w:r>
            <w:r w:rsidR="00505828" w:rsidRPr="00CF11D2">
              <w:rPr>
                <w:iCs/>
                <w:noProof/>
              </w:rPr>
              <w:t xml:space="preserve">Mar. 6, 2020) </w:t>
            </w:r>
            <w:r w:rsidRPr="00B84829">
              <w:rPr>
                <w:b/>
                <w:noProof/>
              </w:rPr>
              <w:t>(Confidential)</w:t>
            </w:r>
          </w:p>
        </w:tc>
      </w:tr>
      <w:tr w:rsidR="00BD3E71" w:rsidRPr="00180C29" w14:paraId="029EC0B4" w14:textId="77777777" w:rsidTr="00794A4C">
        <w:tc>
          <w:tcPr>
            <w:tcW w:w="2970" w:type="dxa"/>
          </w:tcPr>
          <w:p w14:paraId="13C6953E" w14:textId="5516F20D" w:rsidR="00BD3E71" w:rsidRPr="00B84829" w:rsidRDefault="00BD3E71" w:rsidP="003E133C">
            <w:pPr>
              <w:spacing w:after="240"/>
              <w:ind w:left="0" w:right="147" w:hanging="18"/>
              <w:rPr>
                <w:b/>
              </w:rPr>
            </w:pPr>
            <w:r w:rsidRPr="00B84829">
              <w:t xml:space="preserve">Exhibit </w:t>
            </w:r>
            <w:r w:rsidR="00D0582E">
              <w:t>JRichert</w:t>
            </w:r>
            <w:r w:rsidRPr="00B84829">
              <w:t>-2</w:t>
            </w:r>
          </w:p>
        </w:tc>
        <w:tc>
          <w:tcPr>
            <w:tcW w:w="5760" w:type="dxa"/>
          </w:tcPr>
          <w:p w14:paraId="44581808" w14:textId="182904D7" w:rsidR="00BD3E71" w:rsidRPr="00B84829" w:rsidRDefault="00BD3E71" w:rsidP="003E133C">
            <w:pPr>
              <w:spacing w:after="240"/>
              <w:ind w:left="72" w:right="72"/>
              <w:rPr>
                <w:noProof/>
              </w:rPr>
            </w:pPr>
            <w:r w:rsidRPr="00B84829">
              <w:rPr>
                <w:noProof/>
              </w:rPr>
              <w:t xml:space="preserve">Moody’s Investors Service, </w:t>
            </w:r>
            <w:r w:rsidRPr="00B84829">
              <w:rPr>
                <w:i/>
                <w:noProof/>
              </w:rPr>
              <w:t>Regulated Electric and Gas Utilities</w:t>
            </w:r>
            <w:r w:rsidR="007C291A">
              <w:rPr>
                <w:i/>
                <w:noProof/>
              </w:rPr>
              <w:t xml:space="preserve">; </w:t>
            </w:r>
            <w:r w:rsidR="002912BB" w:rsidRPr="00B84829">
              <w:rPr>
                <w:i/>
                <w:noProof/>
              </w:rPr>
              <w:t>Rating Methodology</w:t>
            </w:r>
            <w:r w:rsidRPr="00B84829">
              <w:rPr>
                <w:noProof/>
              </w:rPr>
              <w:t xml:space="preserve"> </w:t>
            </w:r>
            <w:r w:rsidR="002912BB" w:rsidRPr="00B84829">
              <w:rPr>
                <w:noProof/>
              </w:rPr>
              <w:t>(Jun</w:t>
            </w:r>
            <w:r w:rsidR="00953D3C">
              <w:rPr>
                <w:noProof/>
              </w:rPr>
              <w:t>.</w:t>
            </w:r>
            <w:r w:rsidR="002912BB" w:rsidRPr="00B84829">
              <w:rPr>
                <w:noProof/>
              </w:rPr>
              <w:t xml:space="preserve"> 23, 2017) </w:t>
            </w:r>
          </w:p>
        </w:tc>
      </w:tr>
      <w:tr w:rsidR="009B6AC5" w:rsidRPr="00180C29" w14:paraId="3C8ACC95" w14:textId="77777777" w:rsidTr="00794A4C">
        <w:tc>
          <w:tcPr>
            <w:tcW w:w="2970" w:type="dxa"/>
          </w:tcPr>
          <w:p w14:paraId="0241660C" w14:textId="38E3C05C" w:rsidR="009B6AC5" w:rsidRPr="00B84829" w:rsidRDefault="009B6AC5" w:rsidP="003E133C">
            <w:pPr>
              <w:spacing w:after="240"/>
              <w:ind w:left="0" w:right="147" w:hanging="18"/>
              <w:rPr>
                <w:b/>
              </w:rPr>
            </w:pPr>
            <w:r w:rsidRPr="00B84829">
              <w:t xml:space="preserve">Exhibit </w:t>
            </w:r>
            <w:r w:rsidR="00D0582E">
              <w:t>JRichert</w:t>
            </w:r>
            <w:r w:rsidRPr="00B84829">
              <w:t>-3</w:t>
            </w:r>
            <w:r w:rsidR="003E133C">
              <w:t>(CONF)</w:t>
            </w:r>
          </w:p>
        </w:tc>
        <w:tc>
          <w:tcPr>
            <w:tcW w:w="5760" w:type="dxa"/>
          </w:tcPr>
          <w:p w14:paraId="21F48479" w14:textId="2948592C" w:rsidR="009B6AC5" w:rsidRPr="00B84829" w:rsidRDefault="003829E7" w:rsidP="003E133C">
            <w:pPr>
              <w:spacing w:after="240"/>
              <w:ind w:left="72" w:right="72"/>
              <w:rPr>
                <w:i/>
                <w:noProof/>
              </w:rPr>
            </w:pPr>
            <w:r w:rsidRPr="00B84829">
              <w:t>S&amp;P Global Ratings</w:t>
            </w:r>
            <w:r w:rsidR="004277D9" w:rsidRPr="00B84829">
              <w:t xml:space="preserve"> Research</w:t>
            </w:r>
            <w:r w:rsidR="009B6AC5" w:rsidRPr="00B84829">
              <w:rPr>
                <w:noProof/>
              </w:rPr>
              <w:t xml:space="preserve">, </w:t>
            </w:r>
            <w:r w:rsidR="004277D9" w:rsidRPr="00CF11D2">
              <w:rPr>
                <w:i/>
                <w:noProof/>
              </w:rPr>
              <w:t>Taxes Under The Inflation Reduction Act May Increase The Amount Non</w:t>
            </w:r>
            <w:r w:rsidR="00352CBB">
              <w:rPr>
                <w:i/>
                <w:noProof/>
              </w:rPr>
              <w:noBreakHyphen/>
            </w:r>
            <w:r w:rsidR="004277D9" w:rsidRPr="00CF11D2">
              <w:rPr>
                <w:i/>
                <w:noProof/>
              </w:rPr>
              <w:t>Financial Corporates Pay, With Limited Credit Impact</w:t>
            </w:r>
            <w:r w:rsidR="009B6AC5" w:rsidRPr="00B84829">
              <w:rPr>
                <w:noProof/>
              </w:rPr>
              <w:t xml:space="preserve"> </w:t>
            </w:r>
            <w:r w:rsidR="00CF11D2" w:rsidRPr="00B84829">
              <w:rPr>
                <w:noProof/>
              </w:rPr>
              <w:t xml:space="preserve">(Aug. 30 2022) </w:t>
            </w:r>
            <w:r w:rsidR="009B6AC5" w:rsidRPr="00B84829">
              <w:rPr>
                <w:b/>
                <w:noProof/>
              </w:rPr>
              <w:t>(Confidential)</w:t>
            </w:r>
          </w:p>
        </w:tc>
      </w:tr>
      <w:tr w:rsidR="00D94FF0" w:rsidRPr="003B7753" w14:paraId="591518DA" w14:textId="77777777" w:rsidTr="00794A4C">
        <w:tc>
          <w:tcPr>
            <w:tcW w:w="2970" w:type="dxa"/>
          </w:tcPr>
          <w:p w14:paraId="45A85FFB" w14:textId="34DF4A5E" w:rsidR="00D94FF0" w:rsidRPr="003B7753" w:rsidRDefault="00D94FF0" w:rsidP="003E133C">
            <w:pPr>
              <w:spacing w:after="240"/>
              <w:ind w:left="0" w:right="147" w:hanging="18"/>
              <w:rPr>
                <w:b/>
              </w:rPr>
            </w:pPr>
            <w:bookmarkStart w:id="4" w:name="_Hlk158292936"/>
            <w:r w:rsidRPr="003B7753">
              <w:t xml:space="preserve">Exhibit </w:t>
            </w:r>
            <w:r w:rsidR="00D0582E">
              <w:t>JRichert</w:t>
            </w:r>
            <w:r w:rsidRPr="003B7753">
              <w:t>-</w:t>
            </w:r>
            <w:r>
              <w:t>4</w:t>
            </w:r>
            <w:r w:rsidR="003E133C">
              <w:t>(CONF)</w:t>
            </w:r>
          </w:p>
        </w:tc>
        <w:tc>
          <w:tcPr>
            <w:tcW w:w="5760" w:type="dxa"/>
          </w:tcPr>
          <w:p w14:paraId="6776F154" w14:textId="20663DC7" w:rsidR="00D94FF0" w:rsidRPr="003B7753" w:rsidRDefault="00D94FF0" w:rsidP="003E133C">
            <w:pPr>
              <w:spacing w:after="240"/>
              <w:ind w:left="72" w:right="72"/>
              <w:rPr>
                <w:noProof/>
              </w:rPr>
            </w:pPr>
            <w:r w:rsidRPr="003B7753">
              <w:rPr>
                <w:noProof/>
              </w:rPr>
              <w:t xml:space="preserve">Moody’s Investors Service, </w:t>
            </w:r>
            <w:r w:rsidR="00621E19" w:rsidRPr="00621E19">
              <w:rPr>
                <w:i/>
                <w:noProof/>
              </w:rPr>
              <w:t>Inflation Reduction Act will build economic</w:t>
            </w:r>
            <w:r w:rsidR="00621E19">
              <w:rPr>
                <w:i/>
                <w:noProof/>
              </w:rPr>
              <w:t xml:space="preserve"> </w:t>
            </w:r>
            <w:r w:rsidR="00621E19" w:rsidRPr="00621E19">
              <w:rPr>
                <w:i/>
                <w:noProof/>
              </w:rPr>
              <w:t>resilience, but its costs and benefits vary by</w:t>
            </w:r>
            <w:r w:rsidR="003E133C">
              <w:rPr>
                <w:i/>
                <w:noProof/>
              </w:rPr>
              <w:t xml:space="preserve"> </w:t>
            </w:r>
            <w:r w:rsidR="00621E19" w:rsidRPr="00621E19">
              <w:rPr>
                <w:i/>
                <w:noProof/>
              </w:rPr>
              <w:t>sector</w:t>
            </w:r>
            <w:r w:rsidRPr="003B7753">
              <w:rPr>
                <w:noProof/>
              </w:rPr>
              <w:t xml:space="preserve"> (</w:t>
            </w:r>
            <w:r w:rsidR="00621E19">
              <w:rPr>
                <w:noProof/>
              </w:rPr>
              <w:t>Aug</w:t>
            </w:r>
            <w:r w:rsidR="00953D3C">
              <w:rPr>
                <w:noProof/>
              </w:rPr>
              <w:t>.</w:t>
            </w:r>
            <w:r w:rsidR="00621E19">
              <w:rPr>
                <w:noProof/>
              </w:rPr>
              <w:t xml:space="preserve"> 10</w:t>
            </w:r>
            <w:r w:rsidRPr="003B7753">
              <w:rPr>
                <w:noProof/>
              </w:rPr>
              <w:t>, 20</w:t>
            </w:r>
            <w:r w:rsidR="00621E19">
              <w:rPr>
                <w:noProof/>
              </w:rPr>
              <w:t>22</w:t>
            </w:r>
            <w:r w:rsidRPr="003B7753">
              <w:rPr>
                <w:noProof/>
              </w:rPr>
              <w:t xml:space="preserve">) </w:t>
            </w:r>
            <w:r w:rsidRPr="003B7753">
              <w:rPr>
                <w:b/>
                <w:noProof/>
              </w:rPr>
              <w:t>(Confidential)</w:t>
            </w:r>
          </w:p>
        </w:tc>
      </w:tr>
      <w:bookmarkEnd w:id="4"/>
      <w:tr w:rsidR="009C13BF" w:rsidRPr="003B7753" w14:paraId="6F52193E" w14:textId="77777777" w:rsidTr="00794A4C">
        <w:tc>
          <w:tcPr>
            <w:tcW w:w="2970" w:type="dxa"/>
          </w:tcPr>
          <w:p w14:paraId="3A4843A1" w14:textId="1CD31E5E" w:rsidR="009C13BF" w:rsidRPr="003B7753" w:rsidRDefault="009C13BF" w:rsidP="003E133C">
            <w:pPr>
              <w:spacing w:after="240"/>
              <w:ind w:left="0" w:right="147" w:hanging="18"/>
              <w:rPr>
                <w:b/>
              </w:rPr>
            </w:pPr>
            <w:r w:rsidRPr="003B7753">
              <w:t xml:space="preserve">Exhibit </w:t>
            </w:r>
            <w:r w:rsidR="00D0582E">
              <w:t>JRichert</w:t>
            </w:r>
            <w:r w:rsidRPr="003B7753">
              <w:t>-</w:t>
            </w:r>
            <w:r>
              <w:t>5</w:t>
            </w:r>
            <w:r w:rsidR="003E133C">
              <w:t>(CONF)</w:t>
            </w:r>
          </w:p>
        </w:tc>
        <w:tc>
          <w:tcPr>
            <w:tcW w:w="5760" w:type="dxa"/>
          </w:tcPr>
          <w:p w14:paraId="0C42876D" w14:textId="2D37835B" w:rsidR="009C13BF" w:rsidRPr="003B7753" w:rsidRDefault="009C13BF" w:rsidP="003E133C">
            <w:pPr>
              <w:spacing w:after="240"/>
              <w:ind w:left="72" w:right="72"/>
              <w:rPr>
                <w:noProof/>
              </w:rPr>
            </w:pPr>
            <w:r w:rsidRPr="003B7753">
              <w:rPr>
                <w:noProof/>
              </w:rPr>
              <w:t xml:space="preserve">Moody’s Investors Service, </w:t>
            </w:r>
            <w:r w:rsidR="00953D3C" w:rsidRPr="00953D3C">
              <w:rPr>
                <w:i/>
                <w:noProof/>
              </w:rPr>
              <w:t>Rating Action: Moody's downgrades CenterPoint Energy Houston Electric to</w:t>
            </w:r>
            <w:r w:rsidR="003E133C">
              <w:rPr>
                <w:i/>
                <w:noProof/>
              </w:rPr>
              <w:t xml:space="preserve"> </w:t>
            </w:r>
            <w:r w:rsidR="00953D3C" w:rsidRPr="00953D3C">
              <w:rPr>
                <w:i/>
                <w:noProof/>
              </w:rPr>
              <w:t>Baa1 from A3; outlook is stable</w:t>
            </w:r>
            <w:r w:rsidRPr="003B7753">
              <w:rPr>
                <w:noProof/>
              </w:rPr>
              <w:t xml:space="preserve"> (</w:t>
            </w:r>
            <w:r w:rsidR="00953D3C">
              <w:rPr>
                <w:noProof/>
              </w:rPr>
              <w:t>Mar.</w:t>
            </w:r>
            <w:r>
              <w:rPr>
                <w:noProof/>
              </w:rPr>
              <w:t xml:space="preserve"> </w:t>
            </w:r>
            <w:r w:rsidR="00953D3C">
              <w:rPr>
                <w:noProof/>
              </w:rPr>
              <w:t>4</w:t>
            </w:r>
            <w:r w:rsidRPr="003B7753">
              <w:rPr>
                <w:noProof/>
              </w:rPr>
              <w:t>, 20</w:t>
            </w:r>
            <w:r>
              <w:rPr>
                <w:noProof/>
              </w:rPr>
              <w:t>2</w:t>
            </w:r>
            <w:r w:rsidR="00953D3C">
              <w:rPr>
                <w:noProof/>
              </w:rPr>
              <w:t>0</w:t>
            </w:r>
            <w:r w:rsidRPr="003B7753">
              <w:rPr>
                <w:noProof/>
              </w:rPr>
              <w:t xml:space="preserve">) </w:t>
            </w:r>
            <w:r w:rsidRPr="003B7753">
              <w:rPr>
                <w:b/>
                <w:noProof/>
              </w:rPr>
              <w:t>(Confidential)</w:t>
            </w:r>
          </w:p>
        </w:tc>
      </w:tr>
      <w:tr w:rsidR="00731607" w:rsidRPr="003B7753" w14:paraId="2020780D" w14:textId="77777777" w:rsidTr="00794A4C">
        <w:tc>
          <w:tcPr>
            <w:tcW w:w="2970" w:type="dxa"/>
          </w:tcPr>
          <w:p w14:paraId="31759ADC" w14:textId="584A5B57" w:rsidR="00731607" w:rsidRPr="003B7753" w:rsidRDefault="00731607" w:rsidP="003E133C">
            <w:pPr>
              <w:spacing w:after="240"/>
              <w:ind w:left="0" w:right="147" w:hanging="18"/>
              <w:rPr>
                <w:b/>
              </w:rPr>
            </w:pPr>
            <w:r w:rsidRPr="003B7753">
              <w:t xml:space="preserve">Exhibit </w:t>
            </w:r>
            <w:r w:rsidR="00D0582E">
              <w:t>JRichert</w:t>
            </w:r>
            <w:r w:rsidRPr="003B7753">
              <w:t>-</w:t>
            </w:r>
            <w:r>
              <w:t>6</w:t>
            </w:r>
            <w:r w:rsidR="003E133C">
              <w:t>(CONF)</w:t>
            </w:r>
          </w:p>
        </w:tc>
        <w:tc>
          <w:tcPr>
            <w:tcW w:w="5760" w:type="dxa"/>
          </w:tcPr>
          <w:p w14:paraId="52C66513" w14:textId="44D27315" w:rsidR="00731607" w:rsidRPr="00B84829" w:rsidRDefault="00731607" w:rsidP="003E133C">
            <w:pPr>
              <w:spacing w:after="240"/>
              <w:ind w:left="72" w:right="72"/>
              <w:rPr>
                <w:i/>
                <w:noProof/>
              </w:rPr>
            </w:pPr>
            <w:r w:rsidRPr="003B7753">
              <w:rPr>
                <w:noProof/>
              </w:rPr>
              <w:t xml:space="preserve">Moody’s Investors Service, </w:t>
            </w:r>
            <w:r w:rsidR="009800FA" w:rsidRPr="009800FA">
              <w:rPr>
                <w:i/>
                <w:noProof/>
              </w:rPr>
              <w:t>CenterPoint Energy Houston Electric, LLC</w:t>
            </w:r>
            <w:r w:rsidR="009800FA">
              <w:rPr>
                <w:i/>
                <w:noProof/>
              </w:rPr>
              <w:t xml:space="preserve">; </w:t>
            </w:r>
            <w:r w:rsidR="009800FA" w:rsidRPr="009800FA">
              <w:rPr>
                <w:i/>
                <w:noProof/>
              </w:rPr>
              <w:t>Update to credit analysis</w:t>
            </w:r>
            <w:r w:rsidRPr="003B7753">
              <w:rPr>
                <w:noProof/>
              </w:rPr>
              <w:t xml:space="preserve"> (</w:t>
            </w:r>
            <w:r w:rsidR="009800FA">
              <w:rPr>
                <w:noProof/>
              </w:rPr>
              <w:t>Jan</w:t>
            </w:r>
            <w:r>
              <w:rPr>
                <w:noProof/>
              </w:rPr>
              <w:t xml:space="preserve">. </w:t>
            </w:r>
            <w:r w:rsidR="009800FA">
              <w:rPr>
                <w:noProof/>
              </w:rPr>
              <w:t>11</w:t>
            </w:r>
            <w:r w:rsidRPr="003B7753">
              <w:rPr>
                <w:noProof/>
              </w:rPr>
              <w:t>, 20</w:t>
            </w:r>
            <w:r>
              <w:rPr>
                <w:noProof/>
              </w:rPr>
              <w:t>2</w:t>
            </w:r>
            <w:r w:rsidR="009800FA">
              <w:rPr>
                <w:noProof/>
              </w:rPr>
              <w:t>4</w:t>
            </w:r>
            <w:r w:rsidRPr="003B7753">
              <w:rPr>
                <w:noProof/>
              </w:rPr>
              <w:t xml:space="preserve">) </w:t>
            </w:r>
            <w:r w:rsidRPr="003B7753">
              <w:rPr>
                <w:b/>
                <w:noProof/>
              </w:rPr>
              <w:t>(Confidential)</w:t>
            </w:r>
          </w:p>
        </w:tc>
      </w:tr>
    </w:tbl>
    <w:p w14:paraId="5A959348" w14:textId="77777777" w:rsidR="00724F5A" w:rsidRDefault="00724F5A" w:rsidP="00CC3D1E">
      <w:pPr>
        <w:pStyle w:val="Title"/>
        <w:tabs>
          <w:tab w:val="left" w:pos="7650"/>
          <w:tab w:val="right" w:pos="9360"/>
        </w:tabs>
        <w:ind w:left="720"/>
        <w:jc w:val="left"/>
        <w:rPr>
          <w:b w:val="0"/>
          <w:u w:val="none"/>
        </w:rPr>
        <w:sectPr w:rsidR="00724F5A" w:rsidSect="007534E8">
          <w:pgSz w:w="12240" w:h="15840" w:code="1"/>
          <w:pgMar w:top="1440" w:right="1440" w:bottom="1152" w:left="2160" w:header="720" w:footer="581" w:gutter="0"/>
          <w:pgNumType w:start="1"/>
          <w:cols w:space="720"/>
          <w:docGrid w:linePitch="326"/>
        </w:sectPr>
      </w:pPr>
    </w:p>
    <w:p w14:paraId="1B09873E" w14:textId="77777777" w:rsidR="00D4236E" w:rsidRPr="00C9783D" w:rsidRDefault="00D4236E" w:rsidP="005027A0">
      <w:pPr>
        <w:pStyle w:val="CROutline1"/>
        <w:numPr>
          <w:ilvl w:val="0"/>
          <w:numId w:val="0"/>
        </w:numPr>
        <w:ind w:left="720" w:hanging="720"/>
        <w:outlineLvl w:val="9"/>
      </w:pPr>
      <w:bookmarkStart w:id="5" w:name="_Toc157720594"/>
      <w:bookmarkStart w:id="6" w:name="_Toc158812622"/>
      <w:bookmarkStart w:id="7" w:name="_Toc159425800"/>
      <w:bookmarkStart w:id="8" w:name="_Toc159433757"/>
      <w:r w:rsidRPr="00C9783D">
        <w:lastRenderedPageBreak/>
        <w:t>GLOSSARY OF ACRONYMS AND DEFINED TERMS</w:t>
      </w:r>
      <w:bookmarkEnd w:id="5"/>
      <w:bookmarkEnd w:id="6"/>
      <w:bookmarkEnd w:id="7"/>
      <w:bookmarkEnd w:id="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6655"/>
      </w:tblGrid>
      <w:tr w:rsidR="00D4236E" w:rsidRPr="00C9783D" w14:paraId="72F28EC2" w14:textId="77777777" w:rsidTr="009C23E8">
        <w:trPr>
          <w:tblHeader/>
        </w:trPr>
        <w:tc>
          <w:tcPr>
            <w:tcW w:w="2695" w:type="dxa"/>
            <w:hideMark/>
          </w:tcPr>
          <w:p w14:paraId="57960447" w14:textId="74890562" w:rsidR="00D4236E" w:rsidRPr="00C9783D" w:rsidRDefault="00D4236E" w:rsidP="00270172">
            <w:pPr>
              <w:pStyle w:val="BodyText"/>
              <w:jc w:val="left"/>
              <w:rPr>
                <w:b/>
                <w:bCs/>
                <w:szCs w:val="24"/>
              </w:rPr>
            </w:pPr>
            <w:r w:rsidRPr="00C9783D">
              <w:rPr>
                <w:b/>
                <w:bCs/>
                <w:szCs w:val="24"/>
              </w:rPr>
              <w:t>Acronym</w:t>
            </w:r>
            <w:r w:rsidR="009C23E8">
              <w:rPr>
                <w:b/>
                <w:bCs/>
                <w:szCs w:val="24"/>
              </w:rPr>
              <w:t>:</w:t>
            </w:r>
          </w:p>
        </w:tc>
        <w:tc>
          <w:tcPr>
            <w:tcW w:w="6655" w:type="dxa"/>
            <w:hideMark/>
          </w:tcPr>
          <w:p w14:paraId="312EFED2" w14:textId="4F727DFA" w:rsidR="00D4236E" w:rsidRPr="00C9783D" w:rsidRDefault="00D4236E" w:rsidP="00270172">
            <w:pPr>
              <w:pStyle w:val="BodyText"/>
              <w:jc w:val="left"/>
              <w:rPr>
                <w:b/>
                <w:bCs/>
                <w:szCs w:val="24"/>
              </w:rPr>
            </w:pPr>
            <w:r w:rsidRPr="00C9783D">
              <w:rPr>
                <w:b/>
                <w:bCs/>
                <w:szCs w:val="24"/>
              </w:rPr>
              <w:t>Definition</w:t>
            </w:r>
            <w:r w:rsidR="009C23E8">
              <w:rPr>
                <w:b/>
                <w:bCs/>
                <w:szCs w:val="24"/>
              </w:rPr>
              <w:t>:</w:t>
            </w:r>
          </w:p>
        </w:tc>
      </w:tr>
      <w:tr w:rsidR="00E03F8D" w:rsidRPr="00C9783D" w14:paraId="3A01259E" w14:textId="77777777" w:rsidTr="00D4236E">
        <w:tc>
          <w:tcPr>
            <w:tcW w:w="2695" w:type="dxa"/>
          </w:tcPr>
          <w:p w14:paraId="4B4B2EF2" w14:textId="2D6420FD" w:rsidR="00E03F8D" w:rsidRDefault="00E03F8D">
            <w:pPr>
              <w:pStyle w:val="BodyText"/>
              <w:rPr>
                <w:szCs w:val="24"/>
              </w:rPr>
            </w:pPr>
            <w:r>
              <w:rPr>
                <w:szCs w:val="24"/>
              </w:rPr>
              <w:t xml:space="preserve">AEP </w:t>
            </w:r>
            <w:r w:rsidR="00916D99">
              <w:rPr>
                <w:szCs w:val="24"/>
              </w:rPr>
              <w:t>Texas</w:t>
            </w:r>
          </w:p>
        </w:tc>
        <w:tc>
          <w:tcPr>
            <w:tcW w:w="6655" w:type="dxa"/>
          </w:tcPr>
          <w:p w14:paraId="1E54E5D0" w14:textId="11184962" w:rsidR="00E03F8D" w:rsidRDefault="00916D99">
            <w:pPr>
              <w:pStyle w:val="BodyText"/>
              <w:rPr>
                <w:szCs w:val="24"/>
              </w:rPr>
            </w:pPr>
            <w:r>
              <w:rPr>
                <w:szCs w:val="24"/>
              </w:rPr>
              <w:t>AEP Texas Inc.</w:t>
            </w:r>
          </w:p>
        </w:tc>
      </w:tr>
      <w:tr w:rsidR="00D4236E" w:rsidRPr="00C9783D" w14:paraId="26BB31DC" w14:textId="77777777" w:rsidTr="00D4236E">
        <w:tc>
          <w:tcPr>
            <w:tcW w:w="2695" w:type="dxa"/>
            <w:hideMark/>
          </w:tcPr>
          <w:p w14:paraId="0E50F465" w14:textId="6C1AFAF5" w:rsidR="00D4236E" w:rsidRPr="00C9783D" w:rsidRDefault="00DE5D50">
            <w:pPr>
              <w:pStyle w:val="BodyText"/>
              <w:rPr>
                <w:szCs w:val="24"/>
              </w:rPr>
            </w:pPr>
            <w:r>
              <w:rPr>
                <w:szCs w:val="24"/>
              </w:rPr>
              <w:t>CAMT</w:t>
            </w:r>
          </w:p>
        </w:tc>
        <w:tc>
          <w:tcPr>
            <w:tcW w:w="6655" w:type="dxa"/>
            <w:hideMark/>
          </w:tcPr>
          <w:p w14:paraId="52BC8EB2" w14:textId="6C367390" w:rsidR="00D4236E" w:rsidRPr="00C9783D" w:rsidRDefault="00DE5D50">
            <w:pPr>
              <w:pStyle w:val="BodyText"/>
              <w:rPr>
                <w:szCs w:val="24"/>
              </w:rPr>
            </w:pPr>
            <w:r>
              <w:rPr>
                <w:szCs w:val="24"/>
              </w:rPr>
              <w:t>Corporate Alternative Minimum Tax</w:t>
            </w:r>
          </w:p>
        </w:tc>
      </w:tr>
      <w:tr w:rsidR="00270172" w:rsidRPr="00C9783D" w14:paraId="566BFAEB" w14:textId="77777777" w:rsidTr="00D4236E">
        <w:tc>
          <w:tcPr>
            <w:tcW w:w="2695" w:type="dxa"/>
          </w:tcPr>
          <w:p w14:paraId="544CF499" w14:textId="5C6670D0" w:rsidR="00270172" w:rsidRPr="00C9783D" w:rsidRDefault="00270172">
            <w:pPr>
              <w:pStyle w:val="BodyText"/>
              <w:rPr>
                <w:szCs w:val="24"/>
              </w:rPr>
            </w:pPr>
            <w:r>
              <w:rPr>
                <w:szCs w:val="24"/>
              </w:rPr>
              <w:t>CEHE</w:t>
            </w:r>
          </w:p>
        </w:tc>
        <w:tc>
          <w:tcPr>
            <w:tcW w:w="6655" w:type="dxa"/>
          </w:tcPr>
          <w:p w14:paraId="275080DA" w14:textId="758B8CAA" w:rsidR="00270172" w:rsidRPr="00C9783D" w:rsidRDefault="00270172">
            <w:pPr>
              <w:pStyle w:val="BodyText"/>
              <w:rPr>
                <w:szCs w:val="24"/>
              </w:rPr>
            </w:pPr>
            <w:r>
              <w:rPr>
                <w:szCs w:val="24"/>
              </w:rPr>
              <w:t>CenterPoint Energy Houston Electric, LLC</w:t>
            </w:r>
          </w:p>
        </w:tc>
      </w:tr>
      <w:tr w:rsidR="00D4236E" w:rsidRPr="00C9783D" w14:paraId="7C61DC0E" w14:textId="77777777" w:rsidTr="00D4236E">
        <w:tc>
          <w:tcPr>
            <w:tcW w:w="2695" w:type="dxa"/>
            <w:hideMark/>
          </w:tcPr>
          <w:p w14:paraId="76748DAD" w14:textId="77777777" w:rsidR="00D4236E" w:rsidRPr="00C9783D" w:rsidRDefault="00D4236E">
            <w:pPr>
              <w:pStyle w:val="BodyText"/>
              <w:rPr>
                <w:szCs w:val="24"/>
              </w:rPr>
            </w:pPr>
            <w:r w:rsidRPr="00C9783D">
              <w:rPr>
                <w:szCs w:val="24"/>
              </w:rPr>
              <w:t>CenterPoint Houston</w:t>
            </w:r>
          </w:p>
        </w:tc>
        <w:tc>
          <w:tcPr>
            <w:tcW w:w="6655" w:type="dxa"/>
            <w:hideMark/>
          </w:tcPr>
          <w:p w14:paraId="706C0DFF" w14:textId="77777777" w:rsidR="00D4236E" w:rsidRPr="00C9783D" w:rsidRDefault="00D4236E">
            <w:pPr>
              <w:pStyle w:val="BodyText"/>
              <w:rPr>
                <w:szCs w:val="24"/>
              </w:rPr>
            </w:pPr>
            <w:r w:rsidRPr="00C9783D">
              <w:rPr>
                <w:szCs w:val="24"/>
              </w:rPr>
              <w:t>CenterPoint Energy Houston Electric, LLC</w:t>
            </w:r>
          </w:p>
        </w:tc>
      </w:tr>
      <w:tr w:rsidR="003D7308" w:rsidRPr="00C9783D" w14:paraId="23533EC8" w14:textId="77777777" w:rsidTr="00D4236E">
        <w:tc>
          <w:tcPr>
            <w:tcW w:w="2695" w:type="dxa"/>
          </w:tcPr>
          <w:p w14:paraId="1CCA5929" w14:textId="2B5ECCF2" w:rsidR="003D7308" w:rsidRDefault="003D7308">
            <w:pPr>
              <w:pStyle w:val="BodyText"/>
              <w:rPr>
                <w:szCs w:val="24"/>
              </w:rPr>
            </w:pPr>
            <w:r>
              <w:rPr>
                <w:szCs w:val="24"/>
              </w:rPr>
              <w:t>CFO/Debt</w:t>
            </w:r>
          </w:p>
        </w:tc>
        <w:tc>
          <w:tcPr>
            <w:tcW w:w="6655" w:type="dxa"/>
          </w:tcPr>
          <w:p w14:paraId="19CB323E" w14:textId="73C9408A" w:rsidR="003D7308" w:rsidRDefault="003D7308">
            <w:pPr>
              <w:pStyle w:val="BodyText"/>
              <w:rPr>
                <w:szCs w:val="24"/>
              </w:rPr>
            </w:pPr>
            <w:r>
              <w:rPr>
                <w:szCs w:val="24"/>
              </w:rPr>
              <w:t>Ratio of funds from operations or cash from operations to debt</w:t>
            </w:r>
          </w:p>
        </w:tc>
      </w:tr>
      <w:tr w:rsidR="003D7308" w:rsidRPr="00C9783D" w14:paraId="14572A44" w14:textId="77777777" w:rsidTr="00D4236E">
        <w:tc>
          <w:tcPr>
            <w:tcW w:w="2695" w:type="dxa"/>
          </w:tcPr>
          <w:p w14:paraId="2C7CC42B" w14:textId="1FD96EA2" w:rsidR="003D7308" w:rsidRDefault="003D7308">
            <w:pPr>
              <w:pStyle w:val="BodyText"/>
              <w:rPr>
                <w:szCs w:val="24"/>
              </w:rPr>
            </w:pPr>
            <w:r>
              <w:rPr>
                <w:szCs w:val="24"/>
              </w:rPr>
              <w:t>CFO/Interest</w:t>
            </w:r>
          </w:p>
        </w:tc>
        <w:tc>
          <w:tcPr>
            <w:tcW w:w="6655" w:type="dxa"/>
          </w:tcPr>
          <w:p w14:paraId="497E7B90" w14:textId="1ADA36ED" w:rsidR="003D7308" w:rsidRDefault="003D7308">
            <w:pPr>
              <w:pStyle w:val="BodyText"/>
              <w:rPr>
                <w:szCs w:val="24"/>
              </w:rPr>
            </w:pPr>
            <w:r>
              <w:rPr>
                <w:szCs w:val="24"/>
              </w:rPr>
              <w:t>Ratio of funds from operations or cash from operations to interest</w:t>
            </w:r>
          </w:p>
        </w:tc>
      </w:tr>
      <w:tr w:rsidR="00D4236E" w:rsidRPr="00C9783D" w14:paraId="11427709" w14:textId="77777777" w:rsidTr="00D4236E">
        <w:tc>
          <w:tcPr>
            <w:tcW w:w="2695" w:type="dxa"/>
            <w:hideMark/>
          </w:tcPr>
          <w:p w14:paraId="5143FEFE" w14:textId="0CBE27C8" w:rsidR="00D4236E" w:rsidRPr="00C9783D" w:rsidRDefault="00DE5D50">
            <w:pPr>
              <w:pStyle w:val="BodyText"/>
              <w:rPr>
                <w:szCs w:val="24"/>
              </w:rPr>
            </w:pPr>
            <w:r>
              <w:rPr>
                <w:szCs w:val="24"/>
              </w:rPr>
              <w:t>CNP</w:t>
            </w:r>
          </w:p>
        </w:tc>
        <w:tc>
          <w:tcPr>
            <w:tcW w:w="6655" w:type="dxa"/>
            <w:hideMark/>
          </w:tcPr>
          <w:p w14:paraId="389A447E" w14:textId="2772E6A1" w:rsidR="00D4236E" w:rsidRPr="00C9783D" w:rsidRDefault="00276286">
            <w:pPr>
              <w:pStyle w:val="BodyText"/>
              <w:rPr>
                <w:szCs w:val="24"/>
              </w:rPr>
            </w:pPr>
            <w:r>
              <w:rPr>
                <w:szCs w:val="24"/>
              </w:rPr>
              <w:t>CenterPoint Energy, Inc.</w:t>
            </w:r>
          </w:p>
        </w:tc>
      </w:tr>
      <w:tr w:rsidR="00D4236E" w:rsidRPr="00C9783D" w14:paraId="349615BE" w14:textId="77777777" w:rsidTr="00D4236E">
        <w:tc>
          <w:tcPr>
            <w:tcW w:w="2695" w:type="dxa"/>
            <w:hideMark/>
          </w:tcPr>
          <w:p w14:paraId="3DDD3EE7" w14:textId="77777777" w:rsidR="00D4236E" w:rsidRPr="00C9783D" w:rsidRDefault="00D4236E">
            <w:pPr>
              <w:pStyle w:val="BodyText"/>
              <w:rPr>
                <w:szCs w:val="24"/>
              </w:rPr>
            </w:pPr>
            <w:r w:rsidRPr="00C9783D">
              <w:rPr>
                <w:szCs w:val="24"/>
              </w:rPr>
              <w:t>Commission</w:t>
            </w:r>
          </w:p>
        </w:tc>
        <w:tc>
          <w:tcPr>
            <w:tcW w:w="6655" w:type="dxa"/>
            <w:hideMark/>
          </w:tcPr>
          <w:p w14:paraId="6BC30B51" w14:textId="77777777" w:rsidR="00D4236E" w:rsidRPr="00C9783D" w:rsidRDefault="00D4236E">
            <w:pPr>
              <w:pStyle w:val="BodyText"/>
              <w:rPr>
                <w:szCs w:val="24"/>
              </w:rPr>
            </w:pPr>
            <w:r w:rsidRPr="00C9783D">
              <w:rPr>
                <w:szCs w:val="24"/>
              </w:rPr>
              <w:t>Public Utility Commission of Texas</w:t>
            </w:r>
          </w:p>
        </w:tc>
      </w:tr>
      <w:tr w:rsidR="00D4236E" w:rsidRPr="00C9783D" w14:paraId="75DD37E8" w14:textId="77777777" w:rsidTr="00D4236E">
        <w:tc>
          <w:tcPr>
            <w:tcW w:w="2695" w:type="dxa"/>
            <w:hideMark/>
          </w:tcPr>
          <w:p w14:paraId="7CCCE27A" w14:textId="77777777" w:rsidR="00D4236E" w:rsidRPr="00C9783D" w:rsidRDefault="00D4236E">
            <w:pPr>
              <w:pStyle w:val="BodyText"/>
              <w:rPr>
                <w:szCs w:val="24"/>
              </w:rPr>
            </w:pPr>
            <w:r w:rsidRPr="00C9783D">
              <w:rPr>
                <w:szCs w:val="24"/>
              </w:rPr>
              <w:t>Company</w:t>
            </w:r>
          </w:p>
        </w:tc>
        <w:tc>
          <w:tcPr>
            <w:tcW w:w="6655" w:type="dxa"/>
            <w:hideMark/>
          </w:tcPr>
          <w:p w14:paraId="5B1954F6" w14:textId="77777777" w:rsidR="00D4236E" w:rsidRPr="00C9783D" w:rsidRDefault="00D4236E">
            <w:pPr>
              <w:pStyle w:val="BodyText"/>
              <w:rPr>
                <w:szCs w:val="24"/>
              </w:rPr>
            </w:pPr>
            <w:r w:rsidRPr="00C9783D">
              <w:rPr>
                <w:szCs w:val="24"/>
              </w:rPr>
              <w:t>CenterPoint Energy Houston Electric, LLC</w:t>
            </w:r>
          </w:p>
        </w:tc>
      </w:tr>
      <w:tr w:rsidR="003447C7" w:rsidRPr="00C9783D" w14:paraId="77B52D71" w14:textId="77777777" w:rsidTr="00D4236E">
        <w:tc>
          <w:tcPr>
            <w:tcW w:w="2695" w:type="dxa"/>
          </w:tcPr>
          <w:p w14:paraId="5230FC55" w14:textId="0D98ADD5" w:rsidR="003447C7" w:rsidRDefault="003447C7">
            <w:pPr>
              <w:pStyle w:val="BodyText"/>
              <w:rPr>
                <w:szCs w:val="24"/>
              </w:rPr>
            </w:pPr>
            <w:r>
              <w:rPr>
                <w:szCs w:val="24"/>
              </w:rPr>
              <w:t>Debt/EBITDA</w:t>
            </w:r>
          </w:p>
        </w:tc>
        <w:tc>
          <w:tcPr>
            <w:tcW w:w="6655" w:type="dxa"/>
          </w:tcPr>
          <w:p w14:paraId="3C4D2C9C" w14:textId="7E194BE8" w:rsidR="003447C7" w:rsidRDefault="003447C7">
            <w:pPr>
              <w:pStyle w:val="BodyText"/>
              <w:rPr>
                <w:szCs w:val="24"/>
              </w:rPr>
            </w:pPr>
            <w:r>
              <w:rPr>
                <w:szCs w:val="24"/>
              </w:rPr>
              <w:t>The ratio of debt to earnings before interest, taxes, depreciation, and amortization</w:t>
            </w:r>
          </w:p>
        </w:tc>
      </w:tr>
      <w:tr w:rsidR="00D4236E" w:rsidRPr="00C9783D" w14:paraId="2F4F5C25" w14:textId="77777777" w:rsidTr="00D4236E">
        <w:tc>
          <w:tcPr>
            <w:tcW w:w="2695" w:type="dxa"/>
            <w:hideMark/>
          </w:tcPr>
          <w:p w14:paraId="0ECBC7AB" w14:textId="7EB399A2" w:rsidR="00D4236E" w:rsidRPr="00C9783D" w:rsidRDefault="008F1564">
            <w:pPr>
              <w:pStyle w:val="BodyText"/>
              <w:rPr>
                <w:szCs w:val="24"/>
              </w:rPr>
            </w:pPr>
            <w:r>
              <w:rPr>
                <w:szCs w:val="24"/>
              </w:rPr>
              <w:t>Departments</w:t>
            </w:r>
          </w:p>
        </w:tc>
        <w:tc>
          <w:tcPr>
            <w:tcW w:w="6655" w:type="dxa"/>
            <w:hideMark/>
          </w:tcPr>
          <w:p w14:paraId="3AB79156" w14:textId="3C7DD480" w:rsidR="00D4236E" w:rsidRPr="00C9783D" w:rsidRDefault="008F1564">
            <w:pPr>
              <w:pStyle w:val="BodyText"/>
              <w:rPr>
                <w:szCs w:val="24"/>
              </w:rPr>
            </w:pPr>
            <w:r>
              <w:rPr>
                <w:szCs w:val="24"/>
              </w:rPr>
              <w:t>Treasury and Investor Relations Departments</w:t>
            </w:r>
          </w:p>
        </w:tc>
      </w:tr>
      <w:tr w:rsidR="00916D99" w:rsidRPr="00C9783D" w14:paraId="631450BA" w14:textId="77777777" w:rsidTr="00D4236E">
        <w:tc>
          <w:tcPr>
            <w:tcW w:w="2695" w:type="dxa"/>
          </w:tcPr>
          <w:p w14:paraId="751BBF04" w14:textId="1C0F4D8C" w:rsidR="00916D99" w:rsidRDefault="00872CED">
            <w:pPr>
              <w:pStyle w:val="BodyText"/>
              <w:rPr>
                <w:szCs w:val="24"/>
              </w:rPr>
            </w:pPr>
            <w:r>
              <w:rPr>
                <w:szCs w:val="24"/>
              </w:rPr>
              <w:t>Entergy Texas</w:t>
            </w:r>
          </w:p>
        </w:tc>
        <w:tc>
          <w:tcPr>
            <w:tcW w:w="6655" w:type="dxa"/>
          </w:tcPr>
          <w:p w14:paraId="447BF935" w14:textId="09C4CC83" w:rsidR="00916D99" w:rsidRDefault="00872CED">
            <w:pPr>
              <w:pStyle w:val="BodyText"/>
              <w:rPr>
                <w:szCs w:val="24"/>
              </w:rPr>
            </w:pPr>
            <w:r>
              <w:rPr>
                <w:szCs w:val="24"/>
              </w:rPr>
              <w:t>Entergy Texas, Inc.</w:t>
            </w:r>
          </w:p>
        </w:tc>
      </w:tr>
      <w:tr w:rsidR="00D621C2" w:rsidRPr="00C9783D" w14:paraId="6AE273DC" w14:textId="77777777" w:rsidTr="00D4236E">
        <w:tc>
          <w:tcPr>
            <w:tcW w:w="2695" w:type="dxa"/>
          </w:tcPr>
          <w:p w14:paraId="77615FF8" w14:textId="3222425E" w:rsidR="00D621C2" w:rsidRDefault="00D621C2">
            <w:pPr>
              <w:pStyle w:val="BodyText"/>
              <w:rPr>
                <w:szCs w:val="24"/>
              </w:rPr>
            </w:pPr>
            <w:r>
              <w:rPr>
                <w:szCs w:val="24"/>
              </w:rPr>
              <w:t>FFO</w:t>
            </w:r>
          </w:p>
        </w:tc>
        <w:tc>
          <w:tcPr>
            <w:tcW w:w="6655" w:type="dxa"/>
          </w:tcPr>
          <w:p w14:paraId="6DAB9790" w14:textId="2A852D19" w:rsidR="00D621C2" w:rsidRDefault="00D621C2">
            <w:pPr>
              <w:pStyle w:val="BodyText"/>
              <w:rPr>
                <w:szCs w:val="24"/>
              </w:rPr>
            </w:pPr>
            <w:r>
              <w:rPr>
                <w:szCs w:val="24"/>
              </w:rPr>
              <w:t xml:space="preserve">Funds </w:t>
            </w:r>
            <w:r w:rsidR="00373F69">
              <w:rPr>
                <w:szCs w:val="24"/>
              </w:rPr>
              <w:t>f</w:t>
            </w:r>
            <w:r>
              <w:rPr>
                <w:szCs w:val="24"/>
              </w:rPr>
              <w:t xml:space="preserve">rom </w:t>
            </w:r>
            <w:r w:rsidR="00373F69">
              <w:rPr>
                <w:szCs w:val="24"/>
              </w:rPr>
              <w:t>operations</w:t>
            </w:r>
          </w:p>
        </w:tc>
      </w:tr>
      <w:tr w:rsidR="00882FC1" w:rsidRPr="00C9783D" w14:paraId="7F30D60C" w14:textId="77777777" w:rsidTr="00D4236E">
        <w:tc>
          <w:tcPr>
            <w:tcW w:w="2695" w:type="dxa"/>
          </w:tcPr>
          <w:p w14:paraId="09D0ACF9" w14:textId="0488B028" w:rsidR="00882FC1" w:rsidRDefault="00882FC1">
            <w:pPr>
              <w:pStyle w:val="BodyText"/>
              <w:rPr>
                <w:szCs w:val="24"/>
              </w:rPr>
            </w:pPr>
            <w:r>
              <w:rPr>
                <w:szCs w:val="24"/>
              </w:rPr>
              <w:t>FFO/</w:t>
            </w:r>
            <w:r w:rsidR="003447C7">
              <w:rPr>
                <w:szCs w:val="24"/>
              </w:rPr>
              <w:t>Debt</w:t>
            </w:r>
          </w:p>
        </w:tc>
        <w:tc>
          <w:tcPr>
            <w:tcW w:w="6655" w:type="dxa"/>
          </w:tcPr>
          <w:p w14:paraId="25887658" w14:textId="3B528329" w:rsidR="00882FC1" w:rsidRDefault="003447C7">
            <w:pPr>
              <w:pStyle w:val="BodyText"/>
              <w:rPr>
                <w:szCs w:val="24"/>
              </w:rPr>
            </w:pPr>
            <w:r>
              <w:rPr>
                <w:szCs w:val="24"/>
              </w:rPr>
              <w:t>The ratio of funds from operations or cash from operations to debt</w:t>
            </w:r>
          </w:p>
        </w:tc>
      </w:tr>
      <w:tr w:rsidR="00882FC1" w:rsidRPr="00C9783D" w14:paraId="16C2F034" w14:textId="77777777" w:rsidTr="00D4236E">
        <w:tc>
          <w:tcPr>
            <w:tcW w:w="2695" w:type="dxa"/>
          </w:tcPr>
          <w:p w14:paraId="358052AB" w14:textId="05B7CF4A" w:rsidR="00882FC1" w:rsidRDefault="003447C7">
            <w:pPr>
              <w:pStyle w:val="BodyText"/>
              <w:rPr>
                <w:szCs w:val="24"/>
              </w:rPr>
            </w:pPr>
            <w:r>
              <w:rPr>
                <w:szCs w:val="24"/>
              </w:rPr>
              <w:t>FFO/Interest</w:t>
            </w:r>
          </w:p>
        </w:tc>
        <w:tc>
          <w:tcPr>
            <w:tcW w:w="6655" w:type="dxa"/>
          </w:tcPr>
          <w:p w14:paraId="16F02B89" w14:textId="2FB2F39F" w:rsidR="00882FC1" w:rsidRDefault="003447C7">
            <w:pPr>
              <w:pStyle w:val="BodyText"/>
              <w:rPr>
                <w:szCs w:val="24"/>
              </w:rPr>
            </w:pPr>
            <w:r>
              <w:rPr>
                <w:szCs w:val="24"/>
              </w:rPr>
              <w:t>The ratio of funds from operations or cash from operations to interest</w:t>
            </w:r>
          </w:p>
        </w:tc>
      </w:tr>
      <w:tr w:rsidR="00D4236E" w:rsidRPr="00C9783D" w14:paraId="3C9AD791" w14:textId="77777777" w:rsidTr="00D4236E">
        <w:tc>
          <w:tcPr>
            <w:tcW w:w="2695" w:type="dxa"/>
            <w:hideMark/>
          </w:tcPr>
          <w:p w14:paraId="281BE236" w14:textId="51997884" w:rsidR="00D4236E" w:rsidRPr="00C9783D" w:rsidRDefault="009F514D">
            <w:pPr>
              <w:pStyle w:val="BodyText"/>
              <w:rPr>
                <w:szCs w:val="24"/>
              </w:rPr>
            </w:pPr>
            <w:r>
              <w:rPr>
                <w:szCs w:val="24"/>
              </w:rPr>
              <w:t>Fitch</w:t>
            </w:r>
          </w:p>
        </w:tc>
        <w:tc>
          <w:tcPr>
            <w:tcW w:w="6655" w:type="dxa"/>
            <w:hideMark/>
          </w:tcPr>
          <w:p w14:paraId="50C1F9D9" w14:textId="18101BC1" w:rsidR="00D4236E" w:rsidRPr="00C9783D" w:rsidRDefault="009F514D">
            <w:pPr>
              <w:pStyle w:val="BodyText"/>
              <w:rPr>
                <w:szCs w:val="24"/>
              </w:rPr>
            </w:pPr>
            <w:r>
              <w:rPr>
                <w:szCs w:val="24"/>
              </w:rPr>
              <w:t>Fitch Ratings</w:t>
            </w:r>
          </w:p>
        </w:tc>
      </w:tr>
      <w:tr w:rsidR="00D4236E" w:rsidRPr="00C9783D" w14:paraId="6B807C12" w14:textId="77777777" w:rsidTr="00D4236E">
        <w:tc>
          <w:tcPr>
            <w:tcW w:w="2695" w:type="dxa"/>
            <w:hideMark/>
          </w:tcPr>
          <w:p w14:paraId="2A11114F" w14:textId="4B3F0745" w:rsidR="00D4236E" w:rsidRPr="00C9783D" w:rsidRDefault="00BE67AA">
            <w:pPr>
              <w:pStyle w:val="BodyText"/>
              <w:rPr>
                <w:szCs w:val="24"/>
              </w:rPr>
            </w:pPr>
            <w:r>
              <w:rPr>
                <w:szCs w:val="24"/>
              </w:rPr>
              <w:t>Moody’s</w:t>
            </w:r>
          </w:p>
        </w:tc>
        <w:tc>
          <w:tcPr>
            <w:tcW w:w="6655" w:type="dxa"/>
            <w:hideMark/>
          </w:tcPr>
          <w:p w14:paraId="6BD1D25F" w14:textId="7D1AA079" w:rsidR="00D4236E" w:rsidRPr="00C9783D" w:rsidRDefault="00BE67AA">
            <w:pPr>
              <w:pStyle w:val="BodyText"/>
              <w:rPr>
                <w:szCs w:val="24"/>
              </w:rPr>
            </w:pPr>
            <w:r>
              <w:rPr>
                <w:bCs/>
              </w:rPr>
              <w:t>Moody’s Investors Service</w:t>
            </w:r>
          </w:p>
        </w:tc>
      </w:tr>
      <w:tr w:rsidR="007D18DB" w:rsidRPr="00C9783D" w14:paraId="67745F2A" w14:textId="77777777" w:rsidTr="00D4236E">
        <w:tc>
          <w:tcPr>
            <w:tcW w:w="2695" w:type="dxa"/>
          </w:tcPr>
          <w:p w14:paraId="58E92B70" w14:textId="6F3C0CA8" w:rsidR="007D18DB" w:rsidRDefault="007D18DB">
            <w:pPr>
              <w:pStyle w:val="BodyText"/>
              <w:rPr>
                <w:szCs w:val="24"/>
              </w:rPr>
            </w:pPr>
            <w:r>
              <w:rPr>
                <w:szCs w:val="24"/>
              </w:rPr>
              <w:t>ROE</w:t>
            </w:r>
          </w:p>
        </w:tc>
        <w:tc>
          <w:tcPr>
            <w:tcW w:w="6655" w:type="dxa"/>
          </w:tcPr>
          <w:p w14:paraId="04345A2F" w14:textId="27EAC58F" w:rsidR="007D18DB" w:rsidRDefault="00F1155E">
            <w:pPr>
              <w:pStyle w:val="BodyText"/>
              <w:rPr>
                <w:szCs w:val="24"/>
              </w:rPr>
            </w:pPr>
            <w:r>
              <w:rPr>
                <w:szCs w:val="24"/>
              </w:rPr>
              <w:t>Rate of Return on Equity</w:t>
            </w:r>
          </w:p>
        </w:tc>
      </w:tr>
      <w:tr w:rsidR="00D4236E" w:rsidRPr="00C9783D" w14:paraId="736C6475" w14:textId="77777777" w:rsidTr="00D4236E">
        <w:tc>
          <w:tcPr>
            <w:tcW w:w="2695" w:type="dxa"/>
            <w:hideMark/>
          </w:tcPr>
          <w:p w14:paraId="39312ECC" w14:textId="1EB9320E" w:rsidR="00D4236E" w:rsidRPr="00C9783D" w:rsidRDefault="009F514D">
            <w:pPr>
              <w:pStyle w:val="BodyText"/>
              <w:rPr>
                <w:szCs w:val="24"/>
              </w:rPr>
            </w:pPr>
            <w:r>
              <w:rPr>
                <w:szCs w:val="24"/>
              </w:rPr>
              <w:t>S&amp;P</w:t>
            </w:r>
          </w:p>
        </w:tc>
        <w:tc>
          <w:tcPr>
            <w:tcW w:w="6655" w:type="dxa"/>
            <w:hideMark/>
          </w:tcPr>
          <w:p w14:paraId="2EDD1B48" w14:textId="263FCA50" w:rsidR="00D4236E" w:rsidRPr="00C9783D" w:rsidRDefault="009F514D">
            <w:pPr>
              <w:pStyle w:val="BodyText"/>
              <w:rPr>
                <w:szCs w:val="24"/>
              </w:rPr>
            </w:pPr>
            <w:r>
              <w:rPr>
                <w:szCs w:val="24"/>
              </w:rPr>
              <w:t xml:space="preserve">Standard </w:t>
            </w:r>
            <w:r w:rsidR="00BE67AA">
              <w:rPr>
                <w:szCs w:val="24"/>
              </w:rPr>
              <w:t>&amp;</w:t>
            </w:r>
            <w:r>
              <w:rPr>
                <w:szCs w:val="24"/>
              </w:rPr>
              <w:t xml:space="preserve"> Poor</w:t>
            </w:r>
            <w:r w:rsidR="00D621C2">
              <w:rPr>
                <w:szCs w:val="24"/>
              </w:rPr>
              <w:t>’</w:t>
            </w:r>
            <w:r>
              <w:rPr>
                <w:szCs w:val="24"/>
              </w:rPr>
              <w:t>s</w:t>
            </w:r>
            <w:r w:rsidR="003E2EA3">
              <w:rPr>
                <w:szCs w:val="24"/>
              </w:rPr>
              <w:t xml:space="preserve"> </w:t>
            </w:r>
          </w:p>
        </w:tc>
      </w:tr>
      <w:tr w:rsidR="00D4236E" w:rsidRPr="00C9783D" w14:paraId="0D7AEB3F" w14:textId="77777777" w:rsidTr="00D4236E">
        <w:tc>
          <w:tcPr>
            <w:tcW w:w="2695" w:type="dxa"/>
            <w:hideMark/>
          </w:tcPr>
          <w:p w14:paraId="2056CB66" w14:textId="3FD7B35A" w:rsidR="00D4236E" w:rsidRPr="00C9783D" w:rsidRDefault="005838E8">
            <w:pPr>
              <w:pStyle w:val="BodyText"/>
              <w:rPr>
                <w:szCs w:val="24"/>
              </w:rPr>
            </w:pPr>
            <w:r>
              <w:rPr>
                <w:szCs w:val="24"/>
              </w:rPr>
              <w:lastRenderedPageBreak/>
              <w:t>Service Company</w:t>
            </w:r>
          </w:p>
        </w:tc>
        <w:tc>
          <w:tcPr>
            <w:tcW w:w="6655" w:type="dxa"/>
            <w:hideMark/>
          </w:tcPr>
          <w:p w14:paraId="3CC5DB4D" w14:textId="496CDE58" w:rsidR="00D4236E" w:rsidRPr="00C9783D" w:rsidRDefault="005838E8">
            <w:pPr>
              <w:pStyle w:val="BodyText"/>
              <w:rPr>
                <w:szCs w:val="24"/>
              </w:rPr>
            </w:pPr>
            <w:r>
              <w:t>CenterPoint Energy Service Company, LLC</w:t>
            </w:r>
          </w:p>
        </w:tc>
      </w:tr>
      <w:tr w:rsidR="00872CED" w:rsidRPr="00C9783D" w14:paraId="7CDFC3C7" w14:textId="77777777" w:rsidTr="00D4236E">
        <w:tc>
          <w:tcPr>
            <w:tcW w:w="2695" w:type="dxa"/>
          </w:tcPr>
          <w:p w14:paraId="175E9EB6" w14:textId="181109D8" w:rsidR="00872CED" w:rsidRDefault="00872CED">
            <w:pPr>
              <w:pStyle w:val="BodyText"/>
              <w:rPr>
                <w:szCs w:val="24"/>
              </w:rPr>
            </w:pPr>
            <w:r>
              <w:rPr>
                <w:szCs w:val="24"/>
              </w:rPr>
              <w:t>SWEPCO</w:t>
            </w:r>
          </w:p>
        </w:tc>
        <w:tc>
          <w:tcPr>
            <w:tcW w:w="6655" w:type="dxa"/>
          </w:tcPr>
          <w:p w14:paraId="23FB5B06" w14:textId="023080E7" w:rsidR="00872CED" w:rsidRDefault="00872CED">
            <w:pPr>
              <w:pStyle w:val="BodyText"/>
              <w:rPr>
                <w:szCs w:val="24"/>
              </w:rPr>
            </w:pPr>
            <w:r>
              <w:rPr>
                <w:szCs w:val="24"/>
              </w:rPr>
              <w:t>Southwestern</w:t>
            </w:r>
            <w:r w:rsidR="002E5EDA">
              <w:rPr>
                <w:szCs w:val="24"/>
              </w:rPr>
              <w:t xml:space="preserve"> Electric Power Company</w:t>
            </w:r>
          </w:p>
        </w:tc>
      </w:tr>
      <w:tr w:rsidR="00D4236E" w:rsidRPr="00C9783D" w14:paraId="788AB838" w14:textId="77777777" w:rsidTr="00D4236E">
        <w:tc>
          <w:tcPr>
            <w:tcW w:w="2695" w:type="dxa"/>
            <w:hideMark/>
          </w:tcPr>
          <w:p w14:paraId="00C50F3D" w14:textId="53DA538B" w:rsidR="00D4236E" w:rsidRPr="00C9783D" w:rsidRDefault="003447C7">
            <w:pPr>
              <w:pStyle w:val="BodyText"/>
              <w:rPr>
                <w:szCs w:val="24"/>
              </w:rPr>
            </w:pPr>
            <w:r>
              <w:rPr>
                <w:szCs w:val="24"/>
              </w:rPr>
              <w:t>Total Debt/Total Capital</w:t>
            </w:r>
          </w:p>
        </w:tc>
        <w:tc>
          <w:tcPr>
            <w:tcW w:w="6655" w:type="dxa"/>
            <w:hideMark/>
          </w:tcPr>
          <w:p w14:paraId="22E64FA8" w14:textId="0D67DFEC" w:rsidR="00D4236E" w:rsidRPr="00C9783D" w:rsidRDefault="003447C7">
            <w:pPr>
              <w:pStyle w:val="BodyText"/>
              <w:rPr>
                <w:szCs w:val="24"/>
              </w:rPr>
            </w:pPr>
            <w:r>
              <w:rPr>
                <w:szCs w:val="24"/>
              </w:rPr>
              <w:t xml:space="preserve">The </w:t>
            </w:r>
            <w:r w:rsidR="0099083C">
              <w:rPr>
                <w:szCs w:val="24"/>
              </w:rPr>
              <w:t>c</w:t>
            </w:r>
            <w:r>
              <w:rPr>
                <w:szCs w:val="24"/>
              </w:rPr>
              <w:t xml:space="preserve">apital </w:t>
            </w:r>
            <w:r w:rsidR="0099083C">
              <w:rPr>
                <w:szCs w:val="24"/>
              </w:rPr>
              <w:t>s</w:t>
            </w:r>
            <w:r>
              <w:rPr>
                <w:szCs w:val="24"/>
              </w:rPr>
              <w:t>tructure ratio of total debt to total capital</w:t>
            </w:r>
          </w:p>
        </w:tc>
      </w:tr>
      <w:tr w:rsidR="00F62AC8" w:rsidRPr="00C9783D" w14:paraId="1140A66C" w14:textId="77777777" w:rsidTr="00D4236E">
        <w:tc>
          <w:tcPr>
            <w:tcW w:w="2695" w:type="dxa"/>
          </w:tcPr>
          <w:p w14:paraId="56A5BD51" w14:textId="0F7FEC6C" w:rsidR="00F62AC8" w:rsidRPr="00C9783D" w:rsidRDefault="00F62AC8">
            <w:pPr>
              <w:pStyle w:val="BodyText"/>
              <w:rPr>
                <w:szCs w:val="24"/>
              </w:rPr>
            </w:pPr>
            <w:r>
              <w:rPr>
                <w:szCs w:val="24"/>
              </w:rPr>
              <w:t>WACC</w:t>
            </w:r>
          </w:p>
        </w:tc>
        <w:tc>
          <w:tcPr>
            <w:tcW w:w="6655" w:type="dxa"/>
          </w:tcPr>
          <w:p w14:paraId="2F5CAC09" w14:textId="3EF63C94" w:rsidR="00F62AC8" w:rsidRPr="00C9783D" w:rsidRDefault="00F62AC8">
            <w:pPr>
              <w:pStyle w:val="BodyText"/>
              <w:rPr>
                <w:szCs w:val="24"/>
              </w:rPr>
            </w:pPr>
            <w:r>
              <w:rPr>
                <w:szCs w:val="24"/>
              </w:rPr>
              <w:t>Weighted Average Cost of Capital</w:t>
            </w:r>
          </w:p>
        </w:tc>
      </w:tr>
    </w:tbl>
    <w:p w14:paraId="51A7E88C" w14:textId="62006857" w:rsidR="009C4FD2" w:rsidRDefault="009C4FD2" w:rsidP="009C4FD2">
      <w:pPr>
        <w:rPr>
          <w:rFonts w:asciiTheme="minorHAnsi" w:hAnsiTheme="minorHAnsi" w:cstheme="minorHAnsi"/>
          <w:szCs w:val="24"/>
        </w:rPr>
        <w:sectPr w:rsidR="009C4FD2">
          <w:pgSz w:w="12240" w:h="15840"/>
          <w:pgMar w:top="1440" w:right="1440" w:bottom="1440" w:left="1440" w:header="720" w:footer="720" w:gutter="0"/>
          <w:cols w:space="720"/>
        </w:sectPr>
      </w:pPr>
    </w:p>
    <w:p w14:paraId="2713F654" w14:textId="34E47AC4" w:rsidR="007E1B1A" w:rsidRPr="00442187" w:rsidRDefault="00293E41" w:rsidP="005027A0">
      <w:pPr>
        <w:pStyle w:val="CROutline1"/>
        <w:numPr>
          <w:ilvl w:val="0"/>
          <w:numId w:val="0"/>
        </w:numPr>
        <w:ind w:left="720" w:hanging="720"/>
        <w:outlineLvl w:val="9"/>
      </w:pPr>
      <w:bookmarkStart w:id="9" w:name="_Toc159433758"/>
      <w:r w:rsidRPr="00442187">
        <w:lastRenderedPageBreak/>
        <w:t xml:space="preserve">EXECUTIVE SUMMARY </w:t>
      </w:r>
      <w:r w:rsidR="006B3F3B" w:rsidRPr="00442187">
        <w:t xml:space="preserve">of </w:t>
      </w:r>
      <w:r w:rsidR="00D53478" w:rsidRPr="00442187">
        <w:t xml:space="preserve">JACQUELINE </w:t>
      </w:r>
      <w:r w:rsidR="00270172" w:rsidRPr="00442187">
        <w:t xml:space="preserve">M. </w:t>
      </w:r>
      <w:r w:rsidR="00D53478" w:rsidRPr="00442187">
        <w:t>RICHERT</w:t>
      </w:r>
      <w:bookmarkEnd w:id="9"/>
    </w:p>
    <w:p w14:paraId="43DDB421" w14:textId="504B4B13" w:rsidR="00CD7CE8" w:rsidRDefault="008D345F" w:rsidP="008B3115">
      <w:pPr>
        <w:spacing w:line="480" w:lineRule="auto"/>
        <w:jc w:val="both"/>
      </w:pPr>
      <w:r>
        <w:tab/>
      </w:r>
      <w:r w:rsidR="52D360B0">
        <w:t>The Public Utility Commission of Texas (the “Commission”) should approve</w:t>
      </w:r>
      <w:r w:rsidR="00CD7CE8">
        <w:t xml:space="preserve"> an overall rate of return of </w:t>
      </w:r>
      <w:r w:rsidR="003B152A">
        <w:t>7.</w:t>
      </w:r>
      <w:r w:rsidR="00A97C18">
        <w:t>03</w:t>
      </w:r>
      <w:r w:rsidR="003B152A">
        <w:t>%</w:t>
      </w:r>
      <w:r w:rsidR="00CD7CE8">
        <w:t xml:space="preserve"> for CenterPoint Energy Houston Electric, LLC (“CenterPoint Houston”</w:t>
      </w:r>
      <w:r w:rsidR="00E52898">
        <w:t xml:space="preserve"> or </w:t>
      </w:r>
      <w:r w:rsidR="00197772">
        <w:t>the “Company”</w:t>
      </w:r>
      <w:r w:rsidR="00CD7CE8">
        <w:t>)</w:t>
      </w:r>
      <w:r w:rsidR="00F95970">
        <w:t>.  That rate of return</w:t>
      </w:r>
      <w:r w:rsidR="00CD7CE8">
        <w:t xml:space="preserve"> is based on </w:t>
      </w:r>
      <w:r w:rsidR="00BD0FD9">
        <w:t>the actual</w:t>
      </w:r>
      <w:r w:rsidR="00CD7CE8">
        <w:t xml:space="preserve"> </w:t>
      </w:r>
      <w:r w:rsidR="00C07635">
        <w:t xml:space="preserve">capital structure </w:t>
      </w:r>
      <w:r w:rsidR="00BD0FD9">
        <w:t xml:space="preserve">of </w:t>
      </w:r>
      <w:r w:rsidR="00BF525B">
        <w:t>the Company</w:t>
      </w:r>
      <w:r w:rsidR="00BD0FD9">
        <w:t xml:space="preserve">, </w:t>
      </w:r>
      <w:r w:rsidR="00C07635">
        <w:t xml:space="preserve">composed of </w:t>
      </w:r>
      <w:r w:rsidR="00572872">
        <w:t>55</w:t>
      </w:r>
      <w:r w:rsidR="000F0D0E">
        <w:t>.10</w:t>
      </w:r>
      <w:r w:rsidR="00572872">
        <w:t>%</w:t>
      </w:r>
      <w:r w:rsidR="00CD7CE8">
        <w:t xml:space="preserve"> debt and </w:t>
      </w:r>
      <w:r w:rsidR="00572872">
        <w:t>4</w:t>
      </w:r>
      <w:r w:rsidR="000F0D0E">
        <w:t>4.90</w:t>
      </w:r>
      <w:r w:rsidR="00572872">
        <w:t>%</w:t>
      </w:r>
      <w:r w:rsidR="00CD7CE8">
        <w:t xml:space="preserve"> equity</w:t>
      </w:r>
      <w:r w:rsidR="00F95970">
        <w:t>,</w:t>
      </w:r>
      <w:r w:rsidR="00CD7CE8">
        <w:t xml:space="preserve"> </w:t>
      </w:r>
      <w:r w:rsidR="009E5B89">
        <w:t xml:space="preserve">a </w:t>
      </w:r>
      <w:r w:rsidR="00946395" w:rsidRPr="000009A1">
        <w:t>10.</w:t>
      </w:r>
      <w:r w:rsidR="00E123EE">
        <w:t>4</w:t>
      </w:r>
      <w:r w:rsidR="0044173D">
        <w:t xml:space="preserve">% </w:t>
      </w:r>
      <w:r w:rsidR="00160730">
        <w:t xml:space="preserve">return on </w:t>
      </w:r>
      <w:r w:rsidR="00CD7CE8">
        <w:t>equity</w:t>
      </w:r>
      <w:r w:rsidR="00F95970">
        <w:t>,</w:t>
      </w:r>
      <w:r w:rsidR="00CD7CE8">
        <w:t xml:space="preserve"> and the </w:t>
      </w:r>
      <w:r w:rsidR="00654F07" w:rsidRPr="000009A1">
        <w:t>4.</w:t>
      </w:r>
      <w:r w:rsidR="0051743D" w:rsidRPr="000009A1">
        <w:t>29</w:t>
      </w:r>
      <w:r w:rsidR="004B24F1" w:rsidRPr="00F535E4">
        <w:t>%</w:t>
      </w:r>
      <w:r w:rsidR="004B24F1">
        <w:t xml:space="preserve"> </w:t>
      </w:r>
      <w:r w:rsidR="00CD7CE8">
        <w:t>cost of debt</w:t>
      </w:r>
      <w:r w:rsidR="00C42D16">
        <w:t xml:space="preserve"> </w:t>
      </w:r>
      <w:r w:rsidR="00C07635">
        <w:t>that I support in this testimony.</w:t>
      </w:r>
      <w:r w:rsidR="00CD7CE8">
        <w:t xml:space="preserve">  </w:t>
      </w:r>
      <w:r w:rsidR="00851646">
        <w:t>While Company witness Ann E. Bulkley’s analysis supports a 10.6% cost of equity, the Company is requesting a 10.4% return on equity after taking into consideration the affordability for customers of the overall return requirement, as discussed in the Direct Testimony of Jason M. Ryan.</w:t>
      </w:r>
      <w:r w:rsidR="00D009C4">
        <w:t xml:space="preserve">  </w:t>
      </w:r>
      <w:r w:rsidR="00605611">
        <w:t>T</w:t>
      </w:r>
      <w:r w:rsidR="00CD7CE8">
        <w:t xml:space="preserve">he proposed </w:t>
      </w:r>
      <w:r w:rsidR="000C7F48">
        <w:t>55.10%/44.90%</w:t>
      </w:r>
      <w:r w:rsidR="00CD7CE8">
        <w:t xml:space="preserve"> capital structure</w:t>
      </w:r>
      <w:r w:rsidR="330F9ADF">
        <w:t xml:space="preserve"> is </w:t>
      </w:r>
      <w:r w:rsidR="0CA98FEB">
        <w:t>conservative and should be adopted by the Commis</w:t>
      </w:r>
      <w:r w:rsidR="005E1BE9">
        <w:t>s</w:t>
      </w:r>
      <w:r w:rsidR="0CA98FEB">
        <w:t>ion</w:t>
      </w:r>
      <w:r w:rsidR="330F9ADF">
        <w:t xml:space="preserve"> because it</w:t>
      </w:r>
      <w:r w:rsidR="00CD7CE8">
        <w:t>:</w:t>
      </w:r>
    </w:p>
    <w:p w14:paraId="2B5437FF" w14:textId="101228EF" w:rsidR="007D4C85" w:rsidRDefault="00222F0B" w:rsidP="004005B4">
      <w:pPr>
        <w:numPr>
          <w:ilvl w:val="0"/>
          <w:numId w:val="15"/>
        </w:numPr>
        <w:spacing w:after="240"/>
        <w:jc w:val="both"/>
      </w:pPr>
      <w:r>
        <w:t>r</w:t>
      </w:r>
      <w:r w:rsidR="00CD7CE8">
        <w:t>easonably reflects the business</w:t>
      </w:r>
      <w:r w:rsidR="00C07635">
        <w:t xml:space="preserve"> and </w:t>
      </w:r>
      <w:r w:rsidR="00CD7CE8">
        <w:t xml:space="preserve">regulatory risk </w:t>
      </w:r>
      <w:r w:rsidR="00C42D16">
        <w:t>of</w:t>
      </w:r>
      <w:r w:rsidR="00CD7CE8">
        <w:t xml:space="preserve"> CenterPoint Houston;</w:t>
      </w:r>
    </w:p>
    <w:p w14:paraId="58F4FB97" w14:textId="56D898ED" w:rsidR="00CD7CE8" w:rsidRDefault="00222F0B" w:rsidP="004005B4">
      <w:pPr>
        <w:numPr>
          <w:ilvl w:val="0"/>
          <w:numId w:val="15"/>
        </w:numPr>
        <w:spacing w:after="240"/>
        <w:jc w:val="both"/>
      </w:pPr>
      <w:r>
        <w:t>supports a single-A</w:t>
      </w:r>
      <w:r w:rsidR="00A2181F">
        <w:t xml:space="preserve"> </w:t>
      </w:r>
      <w:r w:rsidR="00072EB4">
        <w:t>bond</w:t>
      </w:r>
      <w:r w:rsidR="00A2181F">
        <w:t xml:space="preserve"> </w:t>
      </w:r>
      <w:r>
        <w:t>credit rating</w:t>
      </w:r>
      <w:r w:rsidR="009A1F58">
        <w:t>,</w:t>
      </w:r>
      <w:r>
        <w:t xml:space="preserve"> which better enables CenterPoint Houston to maintain continuous access to the capital markets so that it can finance its business needs in nearly all economic climates</w:t>
      </w:r>
      <w:r w:rsidR="00CC452C">
        <w:t xml:space="preserve"> and issue debt at a cost most favorable to our customers</w:t>
      </w:r>
      <w:r>
        <w:t>; and</w:t>
      </w:r>
    </w:p>
    <w:p w14:paraId="4964B469" w14:textId="062392E5" w:rsidR="00222F0B" w:rsidRDefault="00222F0B" w:rsidP="004005B4">
      <w:pPr>
        <w:numPr>
          <w:ilvl w:val="0"/>
          <w:numId w:val="15"/>
        </w:numPr>
        <w:spacing w:after="240"/>
        <w:jc w:val="both"/>
      </w:pPr>
      <w:r>
        <w:t xml:space="preserve">establishes a level of equity that is </w:t>
      </w:r>
      <w:r w:rsidR="00773A58">
        <w:t xml:space="preserve">within the range of </w:t>
      </w:r>
      <w:r>
        <w:t>adopted transmission and distribution</w:t>
      </w:r>
      <w:r w:rsidR="00C42D16">
        <w:t xml:space="preserve"> </w:t>
      </w:r>
      <w:r>
        <w:t>utilities</w:t>
      </w:r>
      <w:r w:rsidR="00D53478">
        <w:t xml:space="preserve"> across the </w:t>
      </w:r>
      <w:r w:rsidR="00D53478" w:rsidRPr="000009A1">
        <w:t>p</w:t>
      </w:r>
      <w:r w:rsidR="00C92A1A" w:rsidRPr="000009A1">
        <w:t>r</w:t>
      </w:r>
      <w:r w:rsidR="00D53478" w:rsidRPr="000009A1">
        <w:t>oxy group</w:t>
      </w:r>
      <w:r w:rsidR="00707D34">
        <w:t>,</w:t>
      </w:r>
      <w:r w:rsidR="00873AB0">
        <w:t xml:space="preserve"> as </w:t>
      </w:r>
      <w:r w:rsidR="00A13B4A">
        <w:t>supported</w:t>
      </w:r>
      <w:r w:rsidR="00873AB0">
        <w:t xml:space="preserve"> within</w:t>
      </w:r>
      <w:r w:rsidR="00707D34">
        <w:t xml:space="preserve"> </w:t>
      </w:r>
      <w:r w:rsidR="006822F7">
        <w:t xml:space="preserve">the Direct Testimony of Company witness Ann E. </w:t>
      </w:r>
      <w:r w:rsidR="001373AD">
        <w:t>Bulkley</w:t>
      </w:r>
      <w:r w:rsidR="00C42D16" w:rsidRPr="00371230">
        <w:t>.</w:t>
      </w:r>
      <w:r w:rsidR="00F03A34">
        <w:t xml:space="preserve"> </w:t>
      </w:r>
    </w:p>
    <w:p w14:paraId="50F417A9" w14:textId="12AAC130" w:rsidR="0044173D" w:rsidRDefault="4720D35D" w:rsidP="009A1F58">
      <w:pPr>
        <w:spacing w:line="480" w:lineRule="auto"/>
        <w:jc w:val="both"/>
      </w:pPr>
      <w:r>
        <w:t xml:space="preserve">The proposed </w:t>
      </w:r>
      <w:r w:rsidRPr="000009A1">
        <w:t>4.</w:t>
      </w:r>
      <w:r w:rsidR="00310C0D" w:rsidRPr="000009A1">
        <w:t>29</w:t>
      </w:r>
      <w:r>
        <w:t>%</w:t>
      </w:r>
      <w:r w:rsidR="52490D69">
        <w:t xml:space="preserve"> cost of debt is reasonable based on CenterPoint Houston’s debt outstanding at </w:t>
      </w:r>
      <w:r w:rsidR="00310C0D" w:rsidRPr="000009A1">
        <w:t>December 31,</w:t>
      </w:r>
      <w:r w:rsidR="00EA331D" w:rsidRPr="000009A1">
        <w:t xml:space="preserve"> 2023</w:t>
      </w:r>
      <w:r w:rsidR="6BB7C8F2" w:rsidRPr="00B82E0D">
        <w:t>,</w:t>
      </w:r>
      <w:r w:rsidR="6BB7C8F2">
        <w:t xml:space="preserve"> and it supports</w:t>
      </w:r>
      <w:r w:rsidR="52490D69">
        <w:t xml:space="preserve"> an overall cost of capital that reflects the required return based on CenterPoint Houston’s business and financial risk</w:t>
      </w:r>
      <w:r w:rsidR="4F7DD045">
        <w:t xml:space="preserve"> that will most efficiently allow it to invest capital to further resiliency</w:t>
      </w:r>
      <w:r w:rsidR="64D5A5D6">
        <w:t xml:space="preserve">, hardening, </w:t>
      </w:r>
      <w:r w:rsidR="4F7DD045">
        <w:t>and growth across the system.</w:t>
      </w:r>
    </w:p>
    <w:p w14:paraId="01AF13B6" w14:textId="48AEFE0E" w:rsidR="681ADCDA" w:rsidRDefault="2BF6A7CE" w:rsidP="00F62AC8">
      <w:pPr>
        <w:spacing w:line="480" w:lineRule="auto"/>
        <w:ind w:firstLine="720"/>
        <w:jc w:val="both"/>
      </w:pPr>
      <w:r>
        <w:lastRenderedPageBreak/>
        <w:t>T</w:t>
      </w:r>
      <w:r w:rsidRPr="50FC1313">
        <w:rPr>
          <w:rStyle w:val="normaltextrun"/>
        </w:rPr>
        <w:t xml:space="preserve">he Inflation Reduction Act </w:t>
      </w:r>
      <w:r w:rsidR="003A41AB">
        <w:rPr>
          <w:rStyle w:val="normaltextrun"/>
        </w:rPr>
        <w:t xml:space="preserve">of 2022 </w:t>
      </w:r>
      <w:r w:rsidRPr="50FC1313">
        <w:rPr>
          <w:rStyle w:val="normaltextrun"/>
        </w:rPr>
        <w:t xml:space="preserve">imposes a new 15% </w:t>
      </w:r>
      <w:r>
        <w:t>Corporate Alternative Minimum Tax</w:t>
      </w:r>
      <w:r w:rsidR="6A9B8CFF">
        <w:t xml:space="preserve"> (“CAMT”)</w:t>
      </w:r>
      <w:r w:rsidRPr="50FC1313">
        <w:rPr>
          <w:rStyle w:val="normaltextrun"/>
        </w:rPr>
        <w:t xml:space="preserve"> based upon adjusted financial statement income.</w:t>
      </w:r>
      <w:r w:rsidR="00E24070">
        <w:rPr>
          <w:rStyle w:val="FootnoteReference"/>
        </w:rPr>
        <w:footnoteReference w:id="2"/>
      </w:r>
      <w:r w:rsidRPr="50FC1313">
        <w:rPr>
          <w:rStyle w:val="normaltextrun"/>
        </w:rPr>
        <w:t xml:space="preserve">  </w:t>
      </w:r>
      <w:r>
        <w:t>T</w:t>
      </w:r>
      <w:r w:rsidRPr="50FC1313">
        <w:rPr>
          <w:rStyle w:val="normaltextrun"/>
        </w:rPr>
        <w:t xml:space="preserve">he Company expects that </w:t>
      </w:r>
      <w:r w:rsidR="00FA5830">
        <w:rPr>
          <w:rStyle w:val="normaltextrun"/>
        </w:rPr>
        <w:t>CenterPoint Energy, Inc</w:t>
      </w:r>
      <w:r w:rsidR="0026038A">
        <w:rPr>
          <w:rStyle w:val="normaltextrun"/>
        </w:rPr>
        <w:t>.</w:t>
      </w:r>
      <w:r w:rsidR="00F05709">
        <w:rPr>
          <w:rStyle w:val="normaltextrun"/>
        </w:rPr>
        <w:t xml:space="preserve"> (“CNP”) </w:t>
      </w:r>
      <w:r w:rsidRPr="50FC1313">
        <w:rPr>
          <w:rStyle w:val="normaltextrun"/>
        </w:rPr>
        <w:t xml:space="preserve">will be subject to the 15% CAMT beginning in tax year 2024.  </w:t>
      </w:r>
      <w:r w:rsidR="2D6F9B63">
        <w:t>T</w:t>
      </w:r>
      <w:r w:rsidRPr="50FC1313">
        <w:rPr>
          <w:rStyle w:val="normaltextrun"/>
        </w:rPr>
        <w:t xml:space="preserve">he cash outlay associated with the CAMT will likely </w:t>
      </w:r>
      <w:r w:rsidR="64B928BD">
        <w:t>impair</w:t>
      </w:r>
      <w:r w:rsidRPr="50FC1313">
        <w:rPr>
          <w:rStyle w:val="normaltextrun"/>
        </w:rPr>
        <w:t xml:space="preserve"> CenterPoint Houston’s credit metrics if </w:t>
      </w:r>
      <w:r w:rsidR="00752E00">
        <w:rPr>
          <w:rStyle w:val="normaltextrun"/>
        </w:rPr>
        <w:t>the Company is</w:t>
      </w:r>
      <w:r w:rsidRPr="50FC1313">
        <w:rPr>
          <w:rStyle w:val="normaltextrun"/>
        </w:rPr>
        <w:t xml:space="preserve"> unable to recover the impact of the tax through rates</w:t>
      </w:r>
      <w:r w:rsidR="02D5E0A9" w:rsidRPr="50FC1313">
        <w:rPr>
          <w:rStyle w:val="normaltextrun"/>
        </w:rPr>
        <w:t xml:space="preserve">. </w:t>
      </w:r>
    </w:p>
    <w:p w14:paraId="283F54C9" w14:textId="7F0C21F1" w:rsidR="00CC452C" w:rsidRDefault="15C0A122" w:rsidP="00F62AC8">
      <w:pPr>
        <w:spacing w:line="480" w:lineRule="auto"/>
        <w:ind w:firstLine="720"/>
        <w:jc w:val="both"/>
      </w:pPr>
      <w:r>
        <w:t>The</w:t>
      </w:r>
      <w:r w:rsidR="00CC452C">
        <w:t xml:space="preserve"> </w:t>
      </w:r>
      <w:r w:rsidR="00153517">
        <w:t xml:space="preserve">Company </w:t>
      </w:r>
      <w:r w:rsidR="55C97FEC">
        <w:t>has complied</w:t>
      </w:r>
      <w:r w:rsidR="00CC452C">
        <w:t xml:space="preserve"> with the </w:t>
      </w:r>
      <w:r w:rsidR="004B45FF">
        <w:t>ring</w:t>
      </w:r>
      <w:r w:rsidR="00AD4965">
        <w:t>-</w:t>
      </w:r>
      <w:r w:rsidR="004B45FF">
        <w:t xml:space="preserve">fencing </w:t>
      </w:r>
      <w:r w:rsidR="00CC452C">
        <w:t>provisions</w:t>
      </w:r>
      <w:r w:rsidR="00160AC4">
        <w:t xml:space="preserve"> </w:t>
      </w:r>
      <w:r w:rsidR="4DFEEFEF">
        <w:t>adopted in</w:t>
      </w:r>
      <w:r w:rsidR="00160AC4">
        <w:t xml:space="preserve"> the Company’s last rate case</w:t>
      </w:r>
      <w:r w:rsidR="2FD364DF">
        <w:t>,</w:t>
      </w:r>
      <w:r w:rsidR="00160AC4">
        <w:t xml:space="preserve"> Docket No. 49421</w:t>
      </w:r>
      <w:r w:rsidR="55D060BB">
        <w:t>.</w:t>
      </w:r>
      <w:r w:rsidR="00084D06">
        <w:rPr>
          <w:rStyle w:val="FootnoteReference"/>
        </w:rPr>
        <w:footnoteReference w:id="3"/>
      </w:r>
      <w:r w:rsidR="00084D06">
        <w:t xml:space="preserve"> </w:t>
      </w:r>
      <w:r w:rsidR="55D060BB">
        <w:t xml:space="preserve"> However, the Commission should reduce</w:t>
      </w:r>
      <w:r w:rsidR="00CC452C" w:rsidDel="00CC452C">
        <w:t xml:space="preserve"> </w:t>
      </w:r>
      <w:r w:rsidR="00CC452C">
        <w:t xml:space="preserve">the </w:t>
      </w:r>
      <w:r w:rsidR="00874B2F">
        <w:t xml:space="preserve">required </w:t>
      </w:r>
      <w:r w:rsidR="00CC452C">
        <w:t xml:space="preserve">number of </w:t>
      </w:r>
      <w:r w:rsidR="00874B2F">
        <w:t xml:space="preserve">credit </w:t>
      </w:r>
      <w:r w:rsidR="2D516288">
        <w:t>rating</w:t>
      </w:r>
      <w:r w:rsidR="00874B2F">
        <w:t>s</w:t>
      </w:r>
      <w:r w:rsidR="00CC452C">
        <w:t xml:space="preserve"> </w:t>
      </w:r>
      <w:r w:rsidR="00874B2F">
        <w:t xml:space="preserve">for </w:t>
      </w:r>
      <w:r w:rsidR="001E7717">
        <w:t>CenterPoint Houston</w:t>
      </w:r>
      <w:r w:rsidR="00CC452C">
        <w:t xml:space="preserve"> </w:t>
      </w:r>
      <w:r w:rsidR="00E52898">
        <w:t xml:space="preserve">from three to two, which </w:t>
      </w:r>
      <w:r w:rsidR="00DF69E0">
        <w:t xml:space="preserve">is consistent with </w:t>
      </w:r>
      <w:r w:rsidR="00FD4C21">
        <w:t xml:space="preserve">requirements of our </w:t>
      </w:r>
      <w:r w:rsidR="00E61E55">
        <w:t>peers</w:t>
      </w:r>
      <w:r w:rsidR="00FD4C21">
        <w:t>’</w:t>
      </w:r>
      <w:r w:rsidR="00E61E55">
        <w:t xml:space="preserve"> </w:t>
      </w:r>
      <w:r w:rsidR="00FD4C21">
        <w:t xml:space="preserve">provisions </w:t>
      </w:r>
      <w:r w:rsidR="00E61E55">
        <w:t xml:space="preserve">including </w:t>
      </w:r>
      <w:r w:rsidR="00DF69E0">
        <w:t>AEP Texas</w:t>
      </w:r>
      <w:r w:rsidR="00C03A21">
        <w:t xml:space="preserve"> Inc. (“AEP Texas”)</w:t>
      </w:r>
      <w:r w:rsidR="00741940">
        <w:t xml:space="preserve"> in Docket 49494</w:t>
      </w:r>
      <w:r w:rsidR="00604553">
        <w:t>,</w:t>
      </w:r>
      <w:r w:rsidR="00E97EAB">
        <w:rPr>
          <w:rStyle w:val="FootnoteReference"/>
        </w:rPr>
        <w:footnoteReference w:id="4"/>
      </w:r>
      <w:r w:rsidR="00604553">
        <w:t xml:space="preserve"> </w:t>
      </w:r>
      <w:r w:rsidR="00057AE5">
        <w:t>Southwestern Electric Power Co</w:t>
      </w:r>
      <w:r w:rsidR="007329AC">
        <w:t>mpany</w:t>
      </w:r>
      <w:r w:rsidR="00436626">
        <w:t xml:space="preserve"> </w:t>
      </w:r>
      <w:r w:rsidR="009F11E4">
        <w:t>(“SWEPCO”)</w:t>
      </w:r>
      <w:r w:rsidR="00436626">
        <w:t xml:space="preserve"> in Docket </w:t>
      </w:r>
      <w:r w:rsidR="000F58F4">
        <w:t>51415</w:t>
      </w:r>
      <w:r w:rsidR="003543DA">
        <w:t>,</w:t>
      </w:r>
      <w:r w:rsidR="003543DA">
        <w:rPr>
          <w:rStyle w:val="FootnoteReference"/>
        </w:rPr>
        <w:footnoteReference w:id="5"/>
      </w:r>
      <w:r w:rsidR="00DF69E0">
        <w:t xml:space="preserve"> and </w:t>
      </w:r>
      <w:r w:rsidR="00E61E55">
        <w:t>Entergy Texas</w:t>
      </w:r>
      <w:r w:rsidR="005E51C7">
        <w:t>,</w:t>
      </w:r>
      <w:r w:rsidR="00436626">
        <w:t xml:space="preserve"> Inc. (“Entergy Texas”) in Docket 53719</w:t>
      </w:r>
      <w:r w:rsidR="00E61E55">
        <w:t>,</w:t>
      </w:r>
      <w:r w:rsidR="002F7292">
        <w:rPr>
          <w:rStyle w:val="FootnoteReference"/>
        </w:rPr>
        <w:footnoteReference w:id="6"/>
      </w:r>
      <w:r w:rsidR="00E61E55">
        <w:t xml:space="preserve"> and</w:t>
      </w:r>
      <w:r w:rsidR="00E52898">
        <w:t xml:space="preserve"> should </w:t>
      </w:r>
      <w:r w:rsidR="00CC452C">
        <w:t xml:space="preserve">reduce </w:t>
      </w:r>
      <w:r w:rsidR="00C95302">
        <w:t xml:space="preserve">the associated </w:t>
      </w:r>
      <w:r w:rsidR="00CC452C">
        <w:t>costs borne by our customers</w:t>
      </w:r>
      <w:r w:rsidR="00D748DF">
        <w:t xml:space="preserve"> </w:t>
      </w:r>
      <w:r w:rsidR="004118B2">
        <w:t>which was</w:t>
      </w:r>
      <w:r w:rsidR="00D748DF">
        <w:t xml:space="preserve"> </w:t>
      </w:r>
      <w:r w:rsidR="00285DF1">
        <w:t>approximately $990</w:t>
      </w:r>
      <w:r w:rsidR="00D748DF">
        <w:t xml:space="preserve"> thousand</w:t>
      </w:r>
      <w:r w:rsidR="004118B2">
        <w:t xml:space="preserve"> dollars in 2023</w:t>
      </w:r>
      <w:r w:rsidR="00CC452C">
        <w:t>.</w:t>
      </w:r>
    </w:p>
    <w:p w14:paraId="3769F0D8" w14:textId="5705E862" w:rsidR="00222F0B" w:rsidRDefault="63567D7C" w:rsidP="00F62AC8">
      <w:pPr>
        <w:spacing w:line="480" w:lineRule="auto"/>
        <w:ind w:firstLine="360"/>
        <w:jc w:val="both"/>
      </w:pPr>
      <w:r>
        <w:t>The Company seeks</w:t>
      </w:r>
      <w:r w:rsidR="00222F0B">
        <w:t xml:space="preserve"> recovery through rates of the Treasury </w:t>
      </w:r>
      <w:r w:rsidR="00CC452C">
        <w:t xml:space="preserve">and Investor Relations </w:t>
      </w:r>
      <w:r w:rsidR="00222F0B">
        <w:t>Department</w:t>
      </w:r>
      <w:r w:rsidR="00546D46">
        <w:t>s</w:t>
      </w:r>
      <w:r w:rsidR="00CC452C">
        <w:t xml:space="preserve"> </w:t>
      </w:r>
      <w:r w:rsidR="00D60571">
        <w:t xml:space="preserve">(“Departments”) </w:t>
      </w:r>
      <w:r w:rsidR="00CC452C">
        <w:t>related</w:t>
      </w:r>
      <w:r w:rsidR="00222F0B">
        <w:t xml:space="preserve"> costs </w:t>
      </w:r>
      <w:r w:rsidR="00320A94">
        <w:t>billed</w:t>
      </w:r>
      <w:r w:rsidR="00222F0B">
        <w:t xml:space="preserve"> to CenterPoint Houston during the </w:t>
      </w:r>
      <w:r w:rsidR="00390F25">
        <w:t>t</w:t>
      </w:r>
      <w:r w:rsidR="00222F0B">
        <w:t xml:space="preserve">est </w:t>
      </w:r>
      <w:r w:rsidR="00390F25">
        <w:lastRenderedPageBreak/>
        <w:t>y</w:t>
      </w:r>
      <w:r w:rsidR="00222F0B">
        <w:t xml:space="preserve">ear.  </w:t>
      </w:r>
      <w:r w:rsidR="64A7F5E8">
        <w:t>T</w:t>
      </w:r>
      <w:r w:rsidR="725CDE1D">
        <w:t xml:space="preserve">he Commission should approve recovery of </w:t>
      </w:r>
      <w:r w:rsidR="00E00234">
        <w:t>the</w:t>
      </w:r>
      <w:r w:rsidR="00593E5E">
        <w:t xml:space="preserve"> costs allocated to CenterPoint Houston</w:t>
      </w:r>
      <w:r w:rsidR="10D137AC">
        <w:t xml:space="preserve"> </w:t>
      </w:r>
      <w:r w:rsidR="6706DE43">
        <w:t xml:space="preserve">by the Treasury </w:t>
      </w:r>
      <w:r w:rsidR="00E70F3B">
        <w:t>and Investor Relations Departments</w:t>
      </w:r>
      <w:r w:rsidR="6706DE43">
        <w:t xml:space="preserve"> </w:t>
      </w:r>
      <w:r w:rsidR="17A696BA">
        <w:t>because</w:t>
      </w:r>
      <w:r w:rsidR="00222F0B">
        <w:t>:</w:t>
      </w:r>
    </w:p>
    <w:p w14:paraId="764959FE" w14:textId="31202C78" w:rsidR="00222F0B" w:rsidRDefault="6FA3935B" w:rsidP="004005B4">
      <w:pPr>
        <w:numPr>
          <w:ilvl w:val="0"/>
          <w:numId w:val="15"/>
        </w:numPr>
        <w:spacing w:after="240"/>
        <w:jc w:val="both"/>
      </w:pPr>
      <w:r>
        <w:t>they are</w:t>
      </w:r>
      <w:r w:rsidR="00222F0B">
        <w:t xml:space="preserve"> vital corporate support services, such as </w:t>
      </w:r>
      <w:r w:rsidR="00C42D16">
        <w:t>investor relations</w:t>
      </w:r>
      <w:r w:rsidR="0044173D">
        <w:t xml:space="preserve"> </w:t>
      </w:r>
      <w:r w:rsidR="00222F0B">
        <w:t>and treasury operations</w:t>
      </w:r>
      <w:r w:rsidR="0072788E">
        <w:t>;</w:t>
      </w:r>
    </w:p>
    <w:p w14:paraId="770E6912" w14:textId="751AF821" w:rsidR="0072788E" w:rsidRDefault="0072788E" w:rsidP="004005B4">
      <w:pPr>
        <w:numPr>
          <w:ilvl w:val="0"/>
          <w:numId w:val="15"/>
        </w:numPr>
        <w:spacing w:after="240"/>
        <w:jc w:val="both"/>
      </w:pPr>
      <w:r>
        <w:t>the Department</w:t>
      </w:r>
      <w:r w:rsidR="000E371C">
        <w:t>s</w:t>
      </w:r>
      <w:r w:rsidR="4993B89B">
        <w:t xml:space="preserve"> </w:t>
      </w:r>
      <w:r w:rsidR="000E371C">
        <w:t xml:space="preserve">have </w:t>
      </w:r>
      <w:r w:rsidR="4993B89B">
        <w:t>in place reasonable and effective</w:t>
      </w:r>
      <w:r>
        <w:t xml:space="preserve"> cost control processes;</w:t>
      </w:r>
    </w:p>
    <w:p w14:paraId="68BA6FDA" w14:textId="6B1AA9D1" w:rsidR="0072788E" w:rsidRPr="00EB39F3" w:rsidRDefault="00501535" w:rsidP="004005B4">
      <w:pPr>
        <w:numPr>
          <w:ilvl w:val="0"/>
          <w:numId w:val="15"/>
        </w:numPr>
        <w:spacing w:after="240"/>
        <w:jc w:val="both"/>
        <w:rPr>
          <w:b/>
        </w:rPr>
      </w:pPr>
      <w:r>
        <w:t>the</w:t>
      </w:r>
      <w:r w:rsidR="0072788E">
        <w:t xml:space="preserve"> </w:t>
      </w:r>
      <w:r w:rsidR="00AF7372">
        <w:t>Departments</w:t>
      </w:r>
      <w:r w:rsidR="0066361A">
        <w:t>’</w:t>
      </w:r>
      <w:r w:rsidR="00AF7372">
        <w:t xml:space="preserve"> </w:t>
      </w:r>
      <w:r w:rsidR="0072788E">
        <w:t>costs are appropriately assigned to CenterPoint Houston; and</w:t>
      </w:r>
    </w:p>
    <w:p w14:paraId="7E7918CF" w14:textId="77777777" w:rsidR="007578CB" w:rsidRDefault="0072788E" w:rsidP="004005B4">
      <w:pPr>
        <w:numPr>
          <w:ilvl w:val="0"/>
          <w:numId w:val="15"/>
        </w:numPr>
        <w:spacing w:after="240"/>
        <w:jc w:val="both"/>
        <w:sectPr w:rsidR="007578CB" w:rsidSect="00724F5A">
          <w:headerReference w:type="default" r:id="rId11"/>
          <w:footerReference w:type="default" r:id="rId12"/>
          <w:pgSz w:w="12240" w:h="15840" w:code="1"/>
          <w:pgMar w:top="1440" w:right="1440" w:bottom="1440" w:left="2160" w:header="720" w:footer="720" w:gutter="0"/>
          <w:lnNumType w:countBy="1"/>
          <w:pgNumType w:start="1"/>
          <w:cols w:space="720"/>
          <w:docGrid w:linePitch="326"/>
        </w:sectPr>
      </w:pPr>
      <w:r>
        <w:t xml:space="preserve">the </w:t>
      </w:r>
      <w:r w:rsidR="006A771F">
        <w:t xml:space="preserve">Departments’ </w:t>
      </w:r>
      <w:r>
        <w:t>cost assignment to CenterPoint Houston compl</w:t>
      </w:r>
      <w:r w:rsidR="000973C3">
        <w:t>ies</w:t>
      </w:r>
      <w:r>
        <w:t xml:space="preserve"> with the requirements for affiliate cost recovery.</w:t>
      </w:r>
    </w:p>
    <w:p w14:paraId="26819BEC" w14:textId="68A911FC" w:rsidR="00DD31F8" w:rsidRPr="00724F5A" w:rsidRDefault="00DD31F8" w:rsidP="008B5E62">
      <w:pPr>
        <w:keepNext/>
        <w:spacing w:line="480" w:lineRule="auto"/>
        <w:jc w:val="center"/>
        <w:rPr>
          <w:b/>
        </w:rPr>
      </w:pPr>
      <w:r w:rsidRPr="00724F5A">
        <w:rPr>
          <w:b/>
        </w:rPr>
        <w:lastRenderedPageBreak/>
        <w:t xml:space="preserve">DIRECT TESTIMONY OF </w:t>
      </w:r>
      <w:r w:rsidR="00106C13">
        <w:rPr>
          <w:b/>
        </w:rPr>
        <w:t>JACQUELINE M. RICHERT</w:t>
      </w:r>
      <w:r w:rsidR="00106C13">
        <w:rPr>
          <w:b/>
        </w:rPr>
        <w:tab/>
      </w:r>
    </w:p>
    <w:p w14:paraId="5547830D" w14:textId="1DEA0218" w:rsidR="007222ED" w:rsidRPr="00724F5A" w:rsidRDefault="007E1B1A" w:rsidP="008B5E62">
      <w:pPr>
        <w:pStyle w:val="CROutline1"/>
      </w:pPr>
      <w:bookmarkStart w:id="10" w:name="_Toc159433759"/>
      <w:bookmarkStart w:id="11" w:name="_Toc159434273"/>
      <w:r w:rsidRPr="00724F5A">
        <w:t>INTRODUCTION AND QUALIFICATIONS</w:t>
      </w:r>
      <w:bookmarkEnd w:id="10"/>
      <w:bookmarkEnd w:id="11"/>
    </w:p>
    <w:p w14:paraId="337B6D27" w14:textId="77777777" w:rsidR="007E1B1A" w:rsidRDefault="007E1B1A" w:rsidP="00FD1987">
      <w:pPr>
        <w:spacing w:line="480" w:lineRule="auto"/>
        <w:rPr>
          <w:b/>
        </w:rPr>
      </w:pPr>
      <w:bookmarkStart w:id="12" w:name="_Toc260410377"/>
      <w:bookmarkStart w:id="13" w:name="_Toc260637316"/>
      <w:r w:rsidRPr="004E444D">
        <w:rPr>
          <w:b/>
        </w:rPr>
        <w:t>Q.</w:t>
      </w:r>
      <w:r w:rsidRPr="004E444D">
        <w:rPr>
          <w:b/>
        </w:rPr>
        <w:tab/>
        <w:t>PLEASE STATE YOUR NAME AND OCCUPATION.</w:t>
      </w:r>
      <w:bookmarkEnd w:id="12"/>
      <w:bookmarkEnd w:id="13"/>
    </w:p>
    <w:p w14:paraId="21174C6F" w14:textId="7B1F70D5" w:rsidR="007E1B1A" w:rsidRDefault="008A5C3B" w:rsidP="007222ED">
      <w:pPr>
        <w:pStyle w:val="BodyTextIndent2"/>
        <w:spacing w:line="480" w:lineRule="auto"/>
        <w:jc w:val="both"/>
      </w:pPr>
      <w:r>
        <w:t>A.</w:t>
      </w:r>
      <w:r w:rsidR="007E1B1A">
        <w:tab/>
        <w:t xml:space="preserve">My name is </w:t>
      </w:r>
      <w:r w:rsidR="00106C13">
        <w:t>Jacqueline M. Richert</w:t>
      </w:r>
      <w:r w:rsidR="007E1B1A">
        <w:t xml:space="preserve">. </w:t>
      </w:r>
      <w:r w:rsidR="007D2CEE">
        <w:t xml:space="preserve"> </w:t>
      </w:r>
      <w:r w:rsidR="007E1B1A">
        <w:t xml:space="preserve">I am employed by </w:t>
      </w:r>
      <w:r w:rsidR="009D0C0E">
        <w:t>CenterPoint Energy Service Company, LLC</w:t>
      </w:r>
      <w:r w:rsidR="00E36A54">
        <w:t xml:space="preserve"> (“Service Company”) </w:t>
      </w:r>
      <w:r w:rsidR="009D0C0E">
        <w:t>as</w:t>
      </w:r>
      <w:r w:rsidR="00106C13">
        <w:t xml:space="preserve"> Vice President</w:t>
      </w:r>
      <w:r w:rsidR="00DD5CE1">
        <w:t xml:space="preserve"> </w:t>
      </w:r>
      <w:r w:rsidR="005D5097">
        <w:t xml:space="preserve">of </w:t>
      </w:r>
      <w:r w:rsidR="00DD5CE1">
        <w:t>Corporate Planning, Investor Relations</w:t>
      </w:r>
      <w:r w:rsidR="00106C13">
        <w:t xml:space="preserve"> and</w:t>
      </w:r>
      <w:r w:rsidR="009D0C0E">
        <w:t xml:space="preserve"> Treasurer.</w:t>
      </w:r>
      <w:r w:rsidR="007D2CEE">
        <w:t xml:space="preserve"> </w:t>
      </w:r>
      <w:r w:rsidR="009D0C0E">
        <w:t xml:space="preserve"> </w:t>
      </w:r>
    </w:p>
    <w:p w14:paraId="15DBFAF2" w14:textId="77777777" w:rsidR="007E1B1A" w:rsidRDefault="007E1B1A">
      <w:pPr>
        <w:spacing w:line="480" w:lineRule="auto"/>
        <w:jc w:val="both"/>
      </w:pPr>
      <w:r>
        <w:rPr>
          <w:b/>
        </w:rPr>
        <w:t>Q.</w:t>
      </w:r>
      <w:r>
        <w:rPr>
          <w:b/>
        </w:rPr>
        <w:tab/>
        <w:t>ON WHOSE BEHALF ARE YOU TESTIFYING IN THIS PROCEEDING?</w:t>
      </w:r>
      <w:r>
        <w:t xml:space="preserve"> </w:t>
      </w:r>
    </w:p>
    <w:p w14:paraId="3336C75E" w14:textId="70886A22" w:rsidR="007E1B1A" w:rsidRDefault="007E1B1A" w:rsidP="00A40F78">
      <w:pPr>
        <w:spacing w:line="480" w:lineRule="auto"/>
        <w:ind w:left="720" w:hanging="720"/>
        <w:jc w:val="both"/>
      </w:pPr>
      <w:r>
        <w:t>A.</w:t>
      </w:r>
      <w:r>
        <w:tab/>
        <w:t xml:space="preserve">I am testifying on behalf of </w:t>
      </w:r>
      <w:r w:rsidR="00320A94">
        <w:t xml:space="preserve">CenterPoint </w:t>
      </w:r>
      <w:r w:rsidR="00202F5F" w:rsidRPr="003222E5">
        <w:t>Houston</w:t>
      </w:r>
      <w:r w:rsidR="008A5C3B">
        <w:t>.</w:t>
      </w:r>
    </w:p>
    <w:p w14:paraId="028ADC7F" w14:textId="30CAB9BD" w:rsidR="00106C13" w:rsidRPr="00043458" w:rsidRDefault="00106C13" w:rsidP="00106C13">
      <w:pPr>
        <w:pStyle w:val="CRQuestion"/>
      </w:pPr>
      <w:r>
        <w:t>Q.</w:t>
      </w:r>
      <w:r>
        <w:tab/>
        <w:t xml:space="preserve">PLEASE DESCRIBE YOUR </w:t>
      </w:r>
      <w:r w:rsidRPr="00043458">
        <w:t xml:space="preserve">EDUCATIONAL BACKGROUND AND </w:t>
      </w:r>
      <w:r>
        <w:t xml:space="preserve">PREVIOUS </w:t>
      </w:r>
      <w:r w:rsidRPr="00043458">
        <w:t>WORK EXPERIENCE.</w:t>
      </w:r>
    </w:p>
    <w:p w14:paraId="2439A478" w14:textId="156DE7A0" w:rsidR="00106C13" w:rsidRPr="00422012" w:rsidRDefault="00106C13" w:rsidP="00106C13">
      <w:pPr>
        <w:pStyle w:val="CRAnswer"/>
      </w:pPr>
      <w:r w:rsidRPr="00684AF3">
        <w:t>A.</w:t>
      </w:r>
      <w:r w:rsidRPr="00684AF3">
        <w:tab/>
      </w:r>
      <w:r w:rsidRPr="00743B71">
        <w:t>I have a Bachelor of Science in Business Administration, majoring in Finance, from the University of Tennessee.</w:t>
      </w:r>
      <w:r>
        <w:t xml:space="preserve">  </w:t>
      </w:r>
      <w:r w:rsidRPr="00801C49">
        <w:t xml:space="preserve">I have been employed by </w:t>
      </w:r>
      <w:r w:rsidR="0049367C">
        <w:t>Service Company</w:t>
      </w:r>
      <w:r w:rsidRPr="00801C49">
        <w:t xml:space="preserve"> since 2021 and have held various positions within the</w:t>
      </w:r>
      <w:r w:rsidR="005A1FCE">
        <w:t xml:space="preserve"> </w:t>
      </w:r>
      <w:r w:rsidR="00414C51">
        <w:t>CNP</w:t>
      </w:r>
      <w:r w:rsidR="005A1FCE">
        <w:t xml:space="preserve"> organization</w:t>
      </w:r>
      <w:r w:rsidRPr="00801C49">
        <w:t xml:space="preserve">. From 2021 to 2022, I was a director in the investor relations group responsible for managing external communication with investors and research analysts.  In 2022, I was promoted to Vice President of Investor Relations and Treasurer and as of 2023, my responsibilities expanded to </w:t>
      </w:r>
      <w:r w:rsidR="00E52898">
        <w:t xml:space="preserve">also </w:t>
      </w:r>
      <w:r w:rsidRPr="00801C49">
        <w:t xml:space="preserve">include oversight of </w:t>
      </w:r>
      <w:r w:rsidR="008D7478">
        <w:t>CNP</w:t>
      </w:r>
      <w:r w:rsidRPr="00801C49">
        <w:t xml:space="preserve">’s corporate planning activities, including long-term forecasting. Prior to joining </w:t>
      </w:r>
      <w:r w:rsidR="008D7478">
        <w:t>Service Company</w:t>
      </w:r>
      <w:r w:rsidRPr="00801C49">
        <w:t>, I spent nearly 13 years in the midstream energy industry in various roles of increasing responsibility</w:t>
      </w:r>
      <w:r w:rsidRPr="00422012">
        <w:t>.</w:t>
      </w:r>
      <w:r w:rsidR="00151572" w:rsidRPr="00422012">
        <w:t xml:space="preserve">  </w:t>
      </w:r>
    </w:p>
    <w:p w14:paraId="4FC816F6" w14:textId="3ED8C458" w:rsidR="00E3397B" w:rsidRPr="007D2CEE" w:rsidRDefault="00E3397B" w:rsidP="00012CAD">
      <w:pPr>
        <w:pStyle w:val="CRQuestion"/>
        <w:rPr>
          <w:b w:val="0"/>
        </w:rPr>
      </w:pPr>
      <w:r w:rsidRPr="00422012">
        <w:t>Q.</w:t>
      </w:r>
      <w:r w:rsidRPr="00422012">
        <w:tab/>
        <w:t xml:space="preserve">HAVE YOU PREVIOUSLY TESTIFIED </w:t>
      </w:r>
      <w:r w:rsidR="00100654" w:rsidRPr="00422012">
        <w:t xml:space="preserve">IN OTHER </w:t>
      </w:r>
      <w:r w:rsidR="003B0D50" w:rsidRPr="00422012">
        <w:t>REGULATORY</w:t>
      </w:r>
      <w:r w:rsidR="003B0D50">
        <w:t xml:space="preserve"> </w:t>
      </w:r>
      <w:r w:rsidR="00100654">
        <w:t>PROCEEDINGS</w:t>
      </w:r>
      <w:r w:rsidR="003B0D50">
        <w:t>?</w:t>
      </w:r>
    </w:p>
    <w:p w14:paraId="3A8D7326" w14:textId="1C85BA39" w:rsidR="00921AD7" w:rsidRDefault="00E3397B" w:rsidP="00012CAD">
      <w:pPr>
        <w:pStyle w:val="CRAnswer"/>
      </w:pPr>
      <w:r>
        <w:t>A.</w:t>
      </w:r>
      <w:r>
        <w:tab/>
      </w:r>
      <w:r w:rsidR="003B0D50">
        <w:t xml:space="preserve">Yes.  I </w:t>
      </w:r>
      <w:r w:rsidR="008E3F33">
        <w:t xml:space="preserve">have </w:t>
      </w:r>
      <w:r w:rsidR="00FA47AD">
        <w:t xml:space="preserve">filed testimony </w:t>
      </w:r>
      <w:r w:rsidR="008E3F33">
        <w:t xml:space="preserve">with the Railroad Commission of Texas </w:t>
      </w:r>
      <w:r w:rsidR="00FA47AD">
        <w:t xml:space="preserve">in </w:t>
      </w:r>
      <w:r w:rsidR="00F04DC0">
        <w:t xml:space="preserve">Docket </w:t>
      </w:r>
      <w:r w:rsidR="00EB39F3">
        <w:t xml:space="preserve">No. </w:t>
      </w:r>
      <w:r w:rsidR="00F04DC0">
        <w:t>0001</w:t>
      </w:r>
      <w:r w:rsidR="003E425E">
        <w:t>5513</w:t>
      </w:r>
      <w:r w:rsidR="00921AD7">
        <w:t>.</w:t>
      </w:r>
    </w:p>
    <w:p w14:paraId="658F79AA" w14:textId="43AF639E" w:rsidR="007E1B1A" w:rsidRPr="00970FF6" w:rsidRDefault="007E1B1A" w:rsidP="005E1BE9">
      <w:pPr>
        <w:pStyle w:val="CROutline1"/>
        <w:rPr>
          <w:u w:val="none"/>
        </w:rPr>
      </w:pPr>
      <w:bookmarkStart w:id="14" w:name="_Toc159433760"/>
      <w:bookmarkStart w:id="15" w:name="_Toc159434274"/>
      <w:r w:rsidRPr="00970FF6">
        <w:lastRenderedPageBreak/>
        <w:t>SCOPE AND PURPOSE OF TESTIMONY</w:t>
      </w:r>
      <w:bookmarkEnd w:id="14"/>
      <w:bookmarkEnd w:id="15"/>
    </w:p>
    <w:p w14:paraId="4C3B6DC3" w14:textId="77777777" w:rsidR="007E1B1A" w:rsidRDefault="007E1B1A" w:rsidP="00012CAD">
      <w:pPr>
        <w:pStyle w:val="CRQuestion"/>
        <w:rPr>
          <w:b w:val="0"/>
        </w:rPr>
      </w:pPr>
      <w:r>
        <w:t>Q.</w:t>
      </w:r>
      <w:r>
        <w:tab/>
        <w:t>PLEASE DISCUSS</w:t>
      </w:r>
      <w:r w:rsidR="00B40B6B">
        <w:t xml:space="preserve"> THE PURPOSE OF YOUR </w:t>
      </w:r>
      <w:r w:rsidR="00B704C3">
        <w:t xml:space="preserve">DIRECT </w:t>
      </w:r>
      <w:r w:rsidR="00B40B6B">
        <w:t>TESTIMONY.</w:t>
      </w:r>
    </w:p>
    <w:p w14:paraId="1EEEA71C" w14:textId="4D7B4B53" w:rsidR="007E1B1A" w:rsidRDefault="00012CAD" w:rsidP="00012CAD">
      <w:pPr>
        <w:pStyle w:val="CRAnswer"/>
      </w:pPr>
      <w:r>
        <w:t>A.</w:t>
      </w:r>
      <w:r>
        <w:tab/>
      </w:r>
      <w:r w:rsidR="00404469">
        <w:t xml:space="preserve">My </w:t>
      </w:r>
      <w:r w:rsidR="00F62AC8">
        <w:t>D</w:t>
      </w:r>
      <w:r w:rsidR="00404469">
        <w:t xml:space="preserve">irect </w:t>
      </w:r>
      <w:r w:rsidR="00F62AC8">
        <w:t>T</w:t>
      </w:r>
      <w:r w:rsidR="00404469">
        <w:t>estimony has several purposes.  In addition to providing the background information necessary to illuminate the capital structure issues</w:t>
      </w:r>
      <w:r w:rsidR="00AE2ABB">
        <w:t xml:space="preserve"> that I discuss</w:t>
      </w:r>
      <w:r w:rsidR="00404469">
        <w:t xml:space="preserve">, </w:t>
      </w:r>
      <w:r w:rsidR="00C75863">
        <w:t xml:space="preserve">my </w:t>
      </w:r>
      <w:r w:rsidR="00F62AC8">
        <w:t>D</w:t>
      </w:r>
      <w:r w:rsidR="00C75863">
        <w:t xml:space="preserve">irect </w:t>
      </w:r>
      <w:r w:rsidR="00F62AC8">
        <w:t>T</w:t>
      </w:r>
      <w:r w:rsidR="00C75863">
        <w:t>estimony will also</w:t>
      </w:r>
      <w:r w:rsidR="00B704C3">
        <w:t>:</w:t>
      </w:r>
    </w:p>
    <w:p w14:paraId="448DABC6" w14:textId="6D9B2332" w:rsidR="007E1B1A" w:rsidRPr="00B704C3" w:rsidRDefault="3E42CA45" w:rsidP="759B10F2">
      <w:pPr>
        <w:pStyle w:val="BodyTextIndent2"/>
        <w:numPr>
          <w:ilvl w:val="0"/>
          <w:numId w:val="3"/>
        </w:numPr>
        <w:tabs>
          <w:tab w:val="clear" w:pos="1224"/>
        </w:tabs>
        <w:spacing w:after="240" w:line="240" w:lineRule="auto"/>
        <w:ind w:left="1440"/>
        <w:jc w:val="both"/>
        <w:rPr>
          <w:b/>
          <w:bCs/>
        </w:rPr>
      </w:pPr>
      <w:r>
        <w:t>e</w:t>
      </w:r>
      <w:r w:rsidR="10D17A34">
        <w:t xml:space="preserve">xplain that a </w:t>
      </w:r>
      <w:r w:rsidR="4847A0C3">
        <w:t>capital structure</w:t>
      </w:r>
      <w:r w:rsidR="10D17A34">
        <w:t xml:space="preserve"> </w:t>
      </w:r>
      <w:r w:rsidR="6D9656B0">
        <w:t>composed of</w:t>
      </w:r>
      <w:r w:rsidR="10D17A34">
        <w:t xml:space="preserve"> </w:t>
      </w:r>
      <w:r w:rsidR="008D492D">
        <w:t>55</w:t>
      </w:r>
      <w:r w:rsidR="00CB6F91">
        <w:t>.10</w:t>
      </w:r>
      <w:r w:rsidR="008D492D">
        <w:t>%</w:t>
      </w:r>
      <w:r w:rsidR="007044A1">
        <w:t xml:space="preserve"> long-term debt </w:t>
      </w:r>
      <w:r w:rsidR="6D9656B0">
        <w:t xml:space="preserve">and </w:t>
      </w:r>
      <w:r w:rsidR="00CB6F91">
        <w:t>44.90</w:t>
      </w:r>
      <w:r w:rsidR="009859C8">
        <w:t>%</w:t>
      </w:r>
      <w:r w:rsidR="007044A1">
        <w:t xml:space="preserve"> equity</w:t>
      </w:r>
      <w:r w:rsidR="004B255F">
        <w:t>: (1)</w:t>
      </w:r>
      <w:r w:rsidR="10D17A34">
        <w:t xml:space="preserve"> is</w:t>
      </w:r>
      <w:r w:rsidR="4881DFC0">
        <w:t xml:space="preserve"> necessary </w:t>
      </w:r>
      <w:r w:rsidR="10D17A34">
        <w:t xml:space="preserve">for CenterPoint Houston </w:t>
      </w:r>
      <w:r w:rsidR="4881DFC0">
        <w:t>to</w:t>
      </w:r>
      <w:r w:rsidR="53BD5B9F">
        <w:t xml:space="preserve"> improve</w:t>
      </w:r>
      <w:r w:rsidR="4881DFC0">
        <w:t xml:space="preserve"> its current credit metrics</w:t>
      </w:r>
      <w:r w:rsidR="004B255F">
        <w:t>; (2)</w:t>
      </w:r>
      <w:r w:rsidR="64D5A5D6">
        <w:t xml:space="preserve"> </w:t>
      </w:r>
      <w:r w:rsidR="34C85415">
        <w:t xml:space="preserve">will </w:t>
      </w:r>
      <w:r w:rsidR="64D5A5D6">
        <w:t>relatively improve</w:t>
      </w:r>
      <w:r w:rsidR="34C85415">
        <w:t xml:space="preserve"> the cost to fund </w:t>
      </w:r>
      <w:r w:rsidR="4881DFC0">
        <w:t xml:space="preserve">capital </w:t>
      </w:r>
      <w:r w:rsidR="34C85415">
        <w:t>investments to support our customers</w:t>
      </w:r>
      <w:r w:rsidR="004B255F">
        <w:t>; (3)</w:t>
      </w:r>
      <w:r w:rsidR="4881DFC0">
        <w:t xml:space="preserve"> </w:t>
      </w:r>
      <w:r w:rsidR="64D5A5D6">
        <w:t>will help mitigate the</w:t>
      </w:r>
      <w:r w:rsidR="4881DFC0">
        <w:t xml:space="preserve"> impact </w:t>
      </w:r>
      <w:r w:rsidR="5B9D9C77">
        <w:t xml:space="preserve">that </w:t>
      </w:r>
      <w:r w:rsidR="4881DFC0">
        <w:t xml:space="preserve">the </w:t>
      </w:r>
      <w:r w:rsidR="00632EBF" w:rsidRPr="00DE7A50">
        <w:t xml:space="preserve">allocated </w:t>
      </w:r>
      <w:r w:rsidR="00F62AC8">
        <w:t>CAMT</w:t>
      </w:r>
      <w:r w:rsidR="4881DFC0">
        <w:t xml:space="preserve"> </w:t>
      </w:r>
      <w:r w:rsidR="67438D6C">
        <w:t>will have</w:t>
      </w:r>
      <w:r w:rsidR="5B9D9C77">
        <w:t xml:space="preserve"> </w:t>
      </w:r>
      <w:r w:rsidR="4881DFC0">
        <w:t xml:space="preserve">on </w:t>
      </w:r>
      <w:r w:rsidR="4881DFC0" w:rsidRPr="00384BA8">
        <w:t>CenterPoint Houston’s</w:t>
      </w:r>
      <w:r w:rsidR="4881DFC0">
        <w:t xml:space="preserve"> cash flow</w:t>
      </w:r>
      <w:r w:rsidR="004B255F">
        <w:t>; and (4)</w:t>
      </w:r>
      <w:r w:rsidR="00B95483">
        <w:t xml:space="preserve"> is more in line with the rate case capitalization structure for CenterPoint Houston prior to the 2019 rate case</w:t>
      </w:r>
      <w:r w:rsidR="00183239">
        <w:t>;</w:t>
      </w:r>
    </w:p>
    <w:p w14:paraId="0A03932A" w14:textId="18FD30AF" w:rsidR="00B704C3" w:rsidRPr="00950BF9" w:rsidRDefault="6D65838D" w:rsidP="004005B4">
      <w:pPr>
        <w:pStyle w:val="BodyTextIndent2"/>
        <w:numPr>
          <w:ilvl w:val="0"/>
          <w:numId w:val="3"/>
        </w:numPr>
        <w:tabs>
          <w:tab w:val="clear" w:pos="1224"/>
        </w:tabs>
        <w:spacing w:after="240" w:line="240" w:lineRule="auto"/>
        <w:ind w:left="1440"/>
        <w:jc w:val="both"/>
        <w:rPr>
          <w:b/>
        </w:rPr>
      </w:pPr>
      <w:r w:rsidRPr="00DE7A50">
        <w:t>s</w:t>
      </w:r>
      <w:r w:rsidR="00B704C3" w:rsidRPr="00DE7A50">
        <w:t>upport</w:t>
      </w:r>
      <w:r w:rsidR="00B704C3">
        <w:t xml:space="preserve"> CenterPoint Houston’s proposed </w:t>
      </w:r>
      <w:r w:rsidR="00632EBF" w:rsidRPr="00DE7A50">
        <w:t>4</w:t>
      </w:r>
      <w:r w:rsidR="005223A7" w:rsidRPr="00DE7A50">
        <w:t>.29</w:t>
      </w:r>
      <w:r w:rsidR="00B704C3">
        <w:t>% cost of long-term debt</w:t>
      </w:r>
      <w:r w:rsidR="00183239">
        <w:t>;</w:t>
      </w:r>
    </w:p>
    <w:p w14:paraId="45AC1050" w14:textId="51157AC8" w:rsidR="00F95970" w:rsidRPr="00C07635" w:rsidRDefault="1D3E3F61" w:rsidP="004005B4">
      <w:pPr>
        <w:pStyle w:val="BodyTextIndent2"/>
        <w:numPr>
          <w:ilvl w:val="0"/>
          <w:numId w:val="3"/>
        </w:numPr>
        <w:tabs>
          <w:tab w:val="clear" w:pos="1224"/>
        </w:tabs>
        <w:spacing w:after="240" w:line="240" w:lineRule="auto"/>
        <w:ind w:left="1440"/>
        <w:jc w:val="both"/>
      </w:pPr>
      <w:r w:rsidRPr="00DE7A50">
        <w:t>s</w:t>
      </w:r>
      <w:r w:rsidR="00950BF9" w:rsidRPr="00DE7A50">
        <w:t xml:space="preserve">upport </w:t>
      </w:r>
      <w:r w:rsidR="00950BF9">
        <w:t>a</w:t>
      </w:r>
      <w:r w:rsidR="006772EA">
        <w:t xml:space="preserve"> </w:t>
      </w:r>
      <w:r w:rsidR="009859C8">
        <w:t>7.</w:t>
      </w:r>
      <w:r w:rsidR="004A5D43">
        <w:t>03</w:t>
      </w:r>
      <w:r w:rsidR="009859C8">
        <w:t>%</w:t>
      </w:r>
      <w:r w:rsidR="00B704C3">
        <w:t xml:space="preserve"> weighted average cost of capital (“WACC”)</w:t>
      </w:r>
      <w:r w:rsidR="00C72D22">
        <w:t>,</w:t>
      </w:r>
      <w:r w:rsidR="006772EA">
        <w:t xml:space="preserve"> which is c</w:t>
      </w:r>
      <w:r w:rsidR="00B704C3">
        <w:t xml:space="preserve">alculated using </w:t>
      </w:r>
      <w:r w:rsidR="00C07635">
        <w:t>a</w:t>
      </w:r>
      <w:r w:rsidR="00B704C3">
        <w:t xml:space="preserve"> capital structure composed of </w:t>
      </w:r>
      <w:r w:rsidR="009859C8">
        <w:t>55</w:t>
      </w:r>
      <w:r w:rsidR="00E63B16">
        <w:t>.10</w:t>
      </w:r>
      <w:r w:rsidR="009859C8">
        <w:t>%</w:t>
      </w:r>
      <w:r w:rsidR="00BA41F5">
        <w:t xml:space="preserve"> long-term debt </w:t>
      </w:r>
      <w:r w:rsidR="00B704C3">
        <w:t xml:space="preserve">and </w:t>
      </w:r>
      <w:r w:rsidR="00E63B16">
        <w:t>44.90</w:t>
      </w:r>
      <w:r w:rsidR="009859C8">
        <w:t>%</w:t>
      </w:r>
      <w:r w:rsidR="00BA41F5">
        <w:t xml:space="preserve"> equity</w:t>
      </w:r>
      <w:r w:rsidR="00B704C3">
        <w:t xml:space="preserve">, </w:t>
      </w:r>
      <w:r w:rsidR="006772EA">
        <w:t xml:space="preserve">the </w:t>
      </w:r>
      <w:r w:rsidR="00AC7952" w:rsidRPr="00DE7A50">
        <w:t>10.</w:t>
      </w:r>
      <w:r w:rsidR="004A5D43">
        <w:t>4</w:t>
      </w:r>
      <w:r w:rsidR="00AC7952" w:rsidRPr="00DE7A50">
        <w:t xml:space="preserve">% </w:t>
      </w:r>
      <w:r w:rsidR="008D3F14">
        <w:t xml:space="preserve">rate of </w:t>
      </w:r>
      <w:r w:rsidR="009F0A90">
        <w:t>return on equity (“ROE”)</w:t>
      </w:r>
      <w:r w:rsidR="006772EA">
        <w:t xml:space="preserve"> </w:t>
      </w:r>
      <w:r w:rsidR="00595E2D">
        <w:t xml:space="preserve">requested by the </w:t>
      </w:r>
      <w:r w:rsidR="000D27B5">
        <w:t>Company</w:t>
      </w:r>
      <w:r w:rsidR="006772EA">
        <w:t xml:space="preserve">, </w:t>
      </w:r>
      <w:r w:rsidR="00B704C3">
        <w:t xml:space="preserve">and </w:t>
      </w:r>
      <w:r w:rsidR="006772EA">
        <w:t xml:space="preserve">the </w:t>
      </w:r>
      <w:r w:rsidR="00963F3C">
        <w:t>4.</w:t>
      </w:r>
      <w:r w:rsidR="00963F3C" w:rsidRPr="00DE7A50">
        <w:t>2</w:t>
      </w:r>
      <w:r w:rsidR="00AC7952" w:rsidRPr="00DE7A50">
        <w:t>9</w:t>
      </w:r>
      <w:r w:rsidR="00B704C3">
        <w:t>%</w:t>
      </w:r>
      <w:r w:rsidR="006772EA">
        <w:t xml:space="preserve"> cost of </w:t>
      </w:r>
      <w:r w:rsidR="00B704C3">
        <w:t xml:space="preserve">long-term </w:t>
      </w:r>
      <w:r w:rsidR="006772EA">
        <w:t xml:space="preserve">debt that I </w:t>
      </w:r>
      <w:r w:rsidR="00B704C3">
        <w:t>support</w:t>
      </w:r>
      <w:r w:rsidR="006772EA">
        <w:t xml:space="preserve"> in this testimony</w:t>
      </w:r>
      <w:r w:rsidR="00950BF9">
        <w:t>;</w:t>
      </w:r>
      <w:r w:rsidR="00B704C3">
        <w:t xml:space="preserve"> </w:t>
      </w:r>
      <w:r w:rsidR="5B5C6124">
        <w:t>and</w:t>
      </w:r>
    </w:p>
    <w:p w14:paraId="70AE283E" w14:textId="0505A035" w:rsidR="007E1B1A" w:rsidRPr="00E57683" w:rsidRDefault="70777612" w:rsidP="004005B4">
      <w:pPr>
        <w:pStyle w:val="BodyTextIndent2"/>
        <w:numPr>
          <w:ilvl w:val="0"/>
          <w:numId w:val="3"/>
        </w:numPr>
        <w:tabs>
          <w:tab w:val="clear" w:pos="1224"/>
        </w:tabs>
        <w:spacing w:after="240" w:line="240" w:lineRule="auto"/>
        <w:ind w:left="1440"/>
        <w:jc w:val="both"/>
        <w:rPr>
          <w:b/>
        </w:rPr>
      </w:pPr>
      <w:r>
        <w:t>s</w:t>
      </w:r>
      <w:r w:rsidR="00494D21">
        <w:t>upport the costs of the</w:t>
      </w:r>
      <w:r w:rsidR="00E52898">
        <w:t xml:space="preserve"> </w:t>
      </w:r>
      <w:r w:rsidR="007E1B1A">
        <w:t xml:space="preserve">Treasury </w:t>
      </w:r>
      <w:r w:rsidR="00D146A4">
        <w:t xml:space="preserve">and Investor Relations </w:t>
      </w:r>
      <w:r w:rsidR="007E1B1A">
        <w:t>Department</w:t>
      </w:r>
      <w:r w:rsidR="00D146A4">
        <w:t>s</w:t>
      </w:r>
      <w:r w:rsidR="007E1B1A">
        <w:t xml:space="preserve"> </w:t>
      </w:r>
      <w:r w:rsidR="00494D21">
        <w:t xml:space="preserve">that are assigned to </w:t>
      </w:r>
      <w:r w:rsidR="00A2705C">
        <w:t>CenterPoint Houston</w:t>
      </w:r>
      <w:r w:rsidR="00494D21">
        <w:t xml:space="preserve"> by explaining that the services provided</w:t>
      </w:r>
      <w:r w:rsidR="00AA1A33">
        <w:t xml:space="preserve"> and the costs incurred</w:t>
      </w:r>
      <w:r w:rsidR="00494D21">
        <w:t xml:space="preserve"> </w:t>
      </w:r>
      <w:r w:rsidR="00D4334C">
        <w:t xml:space="preserve">by the </w:t>
      </w:r>
      <w:r w:rsidR="00A868BD">
        <w:t>Departments</w:t>
      </w:r>
      <w:r w:rsidR="00D4334C">
        <w:t xml:space="preserve"> </w:t>
      </w:r>
      <w:r w:rsidR="00494D21">
        <w:t>are reasonable and necessary</w:t>
      </w:r>
      <w:r w:rsidR="00AA1A33">
        <w:t>.</w:t>
      </w:r>
    </w:p>
    <w:p w14:paraId="644ABBCC" w14:textId="43DFC2A2" w:rsidR="007E1B1A" w:rsidRDefault="004005B4" w:rsidP="004005B4">
      <w:pPr>
        <w:pStyle w:val="CRQuestion"/>
      </w:pPr>
      <w:r>
        <w:t>Q.</w:t>
      </w:r>
      <w:r>
        <w:tab/>
      </w:r>
      <w:r w:rsidR="003C471C">
        <w:t xml:space="preserve">DO YOU SPONSOR ANY </w:t>
      </w:r>
      <w:r w:rsidR="00321DC0">
        <w:t>EXHIBITS OR SCHEDULES INCLUDED IN THE RATE FILING PACKAGE</w:t>
      </w:r>
      <w:r w:rsidR="007E1B1A">
        <w:t>?</w:t>
      </w:r>
    </w:p>
    <w:p w14:paraId="61BCD701" w14:textId="49C7BC74" w:rsidR="009D1283" w:rsidRDefault="00012CAD" w:rsidP="00F929D5">
      <w:pPr>
        <w:pStyle w:val="CRAnswer"/>
      </w:pPr>
      <w:r>
        <w:t>A.</w:t>
      </w:r>
      <w:r>
        <w:tab/>
      </w:r>
      <w:r w:rsidR="0095267F">
        <w:t xml:space="preserve">Yes.  I sponsor </w:t>
      </w:r>
      <w:r w:rsidR="00F67DD4" w:rsidRPr="00665CBE">
        <w:t xml:space="preserve">Exhibits </w:t>
      </w:r>
      <w:r w:rsidR="002318C9">
        <w:t>JRichert</w:t>
      </w:r>
      <w:r w:rsidR="008B5E62" w:rsidRPr="00665CBE">
        <w:t>-1</w:t>
      </w:r>
      <w:r w:rsidR="0035064B">
        <w:t>(CONF)</w:t>
      </w:r>
      <w:r w:rsidR="008B5E62" w:rsidRPr="00665CBE">
        <w:t xml:space="preserve"> through </w:t>
      </w:r>
      <w:r w:rsidR="00057ECC">
        <w:t>JRichert</w:t>
      </w:r>
      <w:r w:rsidR="008B5E62" w:rsidRPr="00665CBE">
        <w:t>-</w:t>
      </w:r>
      <w:r w:rsidR="00363A5C">
        <w:t>6</w:t>
      </w:r>
      <w:r w:rsidR="00B77D8B">
        <w:t>(CONF)</w:t>
      </w:r>
      <w:r w:rsidR="00875D7F" w:rsidRPr="00665CBE">
        <w:t xml:space="preserve"> and</w:t>
      </w:r>
      <w:r w:rsidR="00875D7F">
        <w:t xml:space="preserve"> </w:t>
      </w:r>
      <w:r w:rsidR="00C149A7">
        <w:t xml:space="preserve">either </w:t>
      </w:r>
      <w:r w:rsidR="00BF2209">
        <w:t xml:space="preserve">sponsor or co-sponsor </w:t>
      </w:r>
      <w:r w:rsidR="00502CC4" w:rsidRPr="00C23321">
        <w:t>the</w:t>
      </w:r>
      <w:r w:rsidR="00502CC4">
        <w:t xml:space="preserve"> following </w:t>
      </w:r>
      <w:r w:rsidR="00290FE8">
        <w:t>s</w:t>
      </w:r>
      <w:r w:rsidR="00502CC4">
        <w:t>ch</w:t>
      </w:r>
      <w:r w:rsidR="00290FE8">
        <w:t>edules:</w:t>
      </w:r>
    </w:p>
    <w:p w14:paraId="37658AB7" w14:textId="79EFD9B1" w:rsidR="00F929D5" w:rsidRDefault="00F929D5" w:rsidP="00B77D8B">
      <w:pPr>
        <w:pStyle w:val="CRAnswer"/>
        <w:ind w:left="2160"/>
      </w:pPr>
      <w:r w:rsidRPr="00F929D5">
        <w:t>II-C-2.2: Weighted Average Cost of Preferred Stock</w:t>
      </w:r>
    </w:p>
    <w:p w14:paraId="68D97440" w14:textId="684197B3" w:rsidR="00F929D5" w:rsidRPr="00F929D5" w:rsidRDefault="00F929D5" w:rsidP="00B77D8B">
      <w:pPr>
        <w:pStyle w:val="CRAnswer"/>
        <w:ind w:left="2160"/>
      </w:pPr>
      <w:r w:rsidRPr="00F929D5">
        <w:t>II-C-2.2a: Adjusted Cost of Preferred Stock</w:t>
      </w:r>
    </w:p>
    <w:p w14:paraId="794D9E3A" w14:textId="77777777" w:rsidR="00F929D5" w:rsidRPr="00F929D5" w:rsidRDefault="00F929D5" w:rsidP="00B77D8B">
      <w:pPr>
        <w:pStyle w:val="CRAnswer"/>
        <w:ind w:left="2160"/>
      </w:pPr>
      <w:r w:rsidRPr="00F929D5">
        <w:t>II-C-2.3: Weighted Average Cost of Preferred Trust Securities</w:t>
      </w:r>
    </w:p>
    <w:p w14:paraId="31BC1540" w14:textId="77777777" w:rsidR="00F929D5" w:rsidRPr="00F929D5" w:rsidRDefault="00F929D5" w:rsidP="00B77D8B">
      <w:pPr>
        <w:pStyle w:val="CRAnswer"/>
        <w:ind w:left="2160"/>
      </w:pPr>
      <w:r w:rsidRPr="00F929D5">
        <w:t>II-C-2.3a: Adjusted Cost of Preferred Trust Securities</w:t>
      </w:r>
    </w:p>
    <w:p w14:paraId="597E55C9" w14:textId="36ECD264" w:rsidR="00F929D5" w:rsidRPr="00F929D5" w:rsidRDefault="00F929D5" w:rsidP="00B77D8B">
      <w:pPr>
        <w:pStyle w:val="CRAnswer"/>
        <w:ind w:left="2160"/>
      </w:pPr>
      <w:r w:rsidRPr="00F929D5">
        <w:lastRenderedPageBreak/>
        <w:t>II-C-2.4: Weighted Average Cost of Long-Term Debt</w:t>
      </w:r>
    </w:p>
    <w:p w14:paraId="5EADEA7E" w14:textId="77777777" w:rsidR="00F929D5" w:rsidRPr="00F929D5" w:rsidRDefault="00F929D5" w:rsidP="00B77D8B">
      <w:pPr>
        <w:pStyle w:val="CRAnswer"/>
        <w:ind w:left="2160"/>
      </w:pPr>
      <w:r w:rsidRPr="00F929D5">
        <w:t>II-C-2.4a: Adjusted Cost of Long-Term Debt</w:t>
      </w:r>
    </w:p>
    <w:p w14:paraId="415EF719" w14:textId="5A25A3E9" w:rsidR="00B51821" w:rsidRDefault="00B51821" w:rsidP="009D1283">
      <w:pPr>
        <w:pStyle w:val="CRAnswer"/>
        <w:ind w:left="2160"/>
      </w:pPr>
      <w:r w:rsidRPr="00F929D5">
        <w:t>II-C-2.</w:t>
      </w:r>
      <w:r>
        <w:t>5</w:t>
      </w:r>
      <w:r w:rsidRPr="00F929D5">
        <w:t xml:space="preserve">: </w:t>
      </w:r>
      <w:bookmarkStart w:id="16" w:name="OLE_LINK1"/>
      <w:r w:rsidR="000122D4">
        <w:t>Weighted Average Cost of Short-Term Debt</w:t>
      </w:r>
      <w:bookmarkEnd w:id="16"/>
    </w:p>
    <w:p w14:paraId="111C9AAE" w14:textId="7B637F9D" w:rsidR="00B51821" w:rsidRDefault="00B51821" w:rsidP="009D1283">
      <w:pPr>
        <w:pStyle w:val="CRAnswer"/>
        <w:ind w:left="2160"/>
      </w:pPr>
      <w:r w:rsidRPr="00F929D5">
        <w:t>II-C-2.</w:t>
      </w:r>
      <w:r w:rsidR="001B0E26">
        <w:t>5a</w:t>
      </w:r>
      <w:r w:rsidRPr="00F929D5">
        <w:t xml:space="preserve">: </w:t>
      </w:r>
      <w:r w:rsidR="000122D4">
        <w:t>Weighted Average Cost of Short-Term Debt-Daily</w:t>
      </w:r>
    </w:p>
    <w:p w14:paraId="7E5FDA55" w14:textId="7B6948D9" w:rsidR="00F929D5" w:rsidRPr="00F929D5" w:rsidRDefault="00F929D5" w:rsidP="00B77D8B">
      <w:pPr>
        <w:pStyle w:val="CRAnswer"/>
        <w:ind w:left="2160"/>
      </w:pPr>
      <w:r w:rsidRPr="00F929D5">
        <w:t>II-C-2.6: Security Issuance Restrictions</w:t>
      </w:r>
    </w:p>
    <w:p w14:paraId="221362E5" w14:textId="5F09805C" w:rsidR="007E1B1A" w:rsidRPr="00180C29" w:rsidRDefault="00F929D5" w:rsidP="00B77D8B">
      <w:pPr>
        <w:pStyle w:val="CRAnswer"/>
        <w:ind w:left="2160"/>
        <w:rPr>
          <w:highlight w:val="yellow"/>
        </w:rPr>
      </w:pPr>
      <w:r w:rsidRPr="00F929D5">
        <w:t>II-C-2.10: Rating Agency Reports</w:t>
      </w:r>
    </w:p>
    <w:p w14:paraId="2F000DE7" w14:textId="0B27212A" w:rsidR="00534C12" w:rsidRDefault="00534C12" w:rsidP="00534C12">
      <w:pPr>
        <w:pStyle w:val="CRQuestion"/>
      </w:pPr>
      <w:r>
        <w:t>Q.</w:t>
      </w:r>
      <w:r>
        <w:tab/>
      </w:r>
      <w:r w:rsidR="00C84043">
        <w:t xml:space="preserve">WAS YOUR TESTIMONY, INCLUDING </w:t>
      </w:r>
      <w:r w:rsidR="00B63F25">
        <w:t xml:space="preserve">ASSOCIATED SCHEDULES, WORKPAPERS, </w:t>
      </w:r>
      <w:r w:rsidR="00084E0E">
        <w:t xml:space="preserve">AND EXHIBITS, PREPARED </w:t>
      </w:r>
      <w:r w:rsidR="007956AE">
        <w:t>BY YOU OR UNDER YOUR DIRECT SUPERVISION AND CONTROL</w:t>
      </w:r>
      <w:r>
        <w:t>?</w:t>
      </w:r>
    </w:p>
    <w:p w14:paraId="30222299" w14:textId="16C9BBA1" w:rsidR="00534C12" w:rsidRDefault="00534C12" w:rsidP="00534C12">
      <w:pPr>
        <w:pStyle w:val="CRAnswer"/>
        <w:rPr>
          <w:highlight w:val="yellow"/>
        </w:rPr>
      </w:pPr>
      <w:r>
        <w:t>A.</w:t>
      </w:r>
      <w:r>
        <w:tab/>
        <w:t>Yes.</w:t>
      </w:r>
    </w:p>
    <w:p w14:paraId="5CC5A03D" w14:textId="193CD8F4" w:rsidR="00A25E66" w:rsidRPr="00921AD7" w:rsidRDefault="00A25E66" w:rsidP="00B044DD">
      <w:pPr>
        <w:pStyle w:val="CRQuestion"/>
        <w:rPr>
          <w:b w:val="0"/>
        </w:rPr>
      </w:pPr>
      <w:r w:rsidRPr="008E2E3C">
        <w:t>Q.</w:t>
      </w:r>
      <w:r w:rsidRPr="008E2E3C">
        <w:tab/>
      </w:r>
      <w:r w:rsidRPr="00921AD7">
        <w:t xml:space="preserve">IS YOUR TESTIMONY RELATED TO THE TESTIMONY OF OTHER </w:t>
      </w:r>
      <w:r w:rsidR="009A6A7E">
        <w:t xml:space="preserve">COMPANY </w:t>
      </w:r>
      <w:r w:rsidRPr="00921AD7">
        <w:t>WITNESSES IN THIS PROCEEDING?</w:t>
      </w:r>
    </w:p>
    <w:p w14:paraId="5C89AB7E" w14:textId="19728470" w:rsidR="00B77D8B" w:rsidRDefault="074C78B5" w:rsidP="003A41AB">
      <w:pPr>
        <w:pStyle w:val="CRAnswer"/>
        <w:rPr>
          <w:u w:val="single"/>
        </w:rPr>
      </w:pPr>
      <w:r w:rsidRPr="00384BA8">
        <w:t>A.</w:t>
      </w:r>
      <w:r w:rsidR="00A25E66" w:rsidRPr="00DA4B55">
        <w:tab/>
      </w:r>
      <w:r w:rsidRPr="00384BA8">
        <w:t xml:space="preserve">Yes. My testimony regarding CenterPoint Houston’s </w:t>
      </w:r>
      <w:r w:rsidR="00D97535">
        <w:t>WACC</w:t>
      </w:r>
      <w:r w:rsidRPr="00384BA8">
        <w:t xml:space="preserve"> is related to </w:t>
      </w:r>
      <w:r w:rsidR="001C73C7">
        <w:t>the Direct Testimony of Ann E. Bulkley</w:t>
      </w:r>
      <w:r w:rsidRPr="00384BA8">
        <w:t xml:space="preserve">, who </w:t>
      </w:r>
      <w:r w:rsidR="00495FB0" w:rsidRPr="00384BA8">
        <w:t xml:space="preserve">supports </w:t>
      </w:r>
      <w:r w:rsidRPr="00384BA8">
        <w:t xml:space="preserve">CenterPoint Houston’s </w:t>
      </w:r>
      <w:r w:rsidR="008B0098" w:rsidRPr="00384BA8">
        <w:t xml:space="preserve">cost of </w:t>
      </w:r>
      <w:r w:rsidR="004C650C" w:rsidRPr="00384BA8">
        <w:t>equity</w:t>
      </w:r>
      <w:bookmarkStart w:id="17" w:name="_Toc264477518"/>
      <w:r w:rsidR="00124734">
        <w:t xml:space="preserve"> anal</w:t>
      </w:r>
      <w:r w:rsidR="00E31E53">
        <w:t>ysis</w:t>
      </w:r>
      <w:r w:rsidRPr="00384BA8">
        <w:t>.</w:t>
      </w:r>
      <w:r w:rsidR="39DCA92B" w:rsidRPr="00384BA8">
        <w:t xml:space="preserve">  My testimony on the </w:t>
      </w:r>
      <w:r w:rsidR="2B8850B3" w:rsidRPr="00384BA8">
        <w:t>C</w:t>
      </w:r>
      <w:r w:rsidR="34C85415" w:rsidRPr="00384BA8">
        <w:t xml:space="preserve">AMT </w:t>
      </w:r>
      <w:r w:rsidR="7CE7AF76" w:rsidRPr="00384BA8">
        <w:t>complements</w:t>
      </w:r>
      <w:r w:rsidR="39DCA92B" w:rsidRPr="00384BA8">
        <w:t xml:space="preserve"> the </w:t>
      </w:r>
      <w:r w:rsidR="00F62AC8">
        <w:t>Direct T</w:t>
      </w:r>
      <w:r w:rsidR="00C740AF" w:rsidRPr="00384BA8">
        <w:t xml:space="preserve">estimony </w:t>
      </w:r>
      <w:r w:rsidR="39DCA92B" w:rsidRPr="00384BA8">
        <w:t>of</w:t>
      </w:r>
      <w:r w:rsidR="00B22953" w:rsidRPr="00384BA8">
        <w:t xml:space="preserve"> Jennifer K. Story</w:t>
      </w:r>
      <w:r w:rsidR="1FBC1206" w:rsidRPr="00384BA8">
        <w:t>.</w:t>
      </w:r>
      <w:r w:rsidR="00A037A1" w:rsidRPr="00FA3695">
        <w:t xml:space="preserve">  Finally, t</w:t>
      </w:r>
      <w:r w:rsidR="00A037A1" w:rsidRPr="00384BA8">
        <w:t xml:space="preserve">he parts of my testimony that relate to the planning, budgeting and assignment of affiliate costs to CenterPoint Houston are related to the </w:t>
      </w:r>
      <w:r w:rsidR="00F62AC8">
        <w:t>Direct T</w:t>
      </w:r>
      <w:r w:rsidR="00A037A1" w:rsidRPr="00384BA8">
        <w:t xml:space="preserve">estimony of </w:t>
      </w:r>
      <w:r w:rsidR="00F62AC8">
        <w:t xml:space="preserve">L. </w:t>
      </w:r>
      <w:r w:rsidR="00A037A1" w:rsidRPr="00384BA8">
        <w:t>Darren Storey, who testifies on the overall planning and budgeting process and the assignment of affiliate costs</w:t>
      </w:r>
      <w:r w:rsidR="00F62AC8">
        <w:t xml:space="preserve">, and the Direct Testimony of </w:t>
      </w:r>
      <w:r w:rsidR="00D97535">
        <w:t xml:space="preserve">Kristie L. Colvin, who testifies on </w:t>
      </w:r>
      <w:r w:rsidR="00151572">
        <w:t>the functionalization of affiliate costs, among other topics</w:t>
      </w:r>
      <w:r w:rsidR="00A037A1" w:rsidRPr="00384BA8">
        <w:t>.</w:t>
      </w:r>
      <w:bookmarkEnd w:id="17"/>
      <w:r w:rsidR="00B77D8B">
        <w:br w:type="page"/>
      </w:r>
    </w:p>
    <w:p w14:paraId="1A328133" w14:textId="35C4DE1C" w:rsidR="009F0A90" w:rsidRPr="004005B4" w:rsidRDefault="4B8ED53B" w:rsidP="008B5E62">
      <w:pPr>
        <w:pStyle w:val="CROutline1"/>
        <w:rPr>
          <w:rFonts w:eastAsiaTheme="majorEastAsia" w:hint="eastAsia"/>
        </w:rPr>
      </w:pPr>
      <w:bookmarkStart w:id="18" w:name="_Toc159433761"/>
      <w:bookmarkStart w:id="19" w:name="_Toc159434275"/>
      <w:r>
        <w:lastRenderedPageBreak/>
        <w:t xml:space="preserve">FINANCIAL INTEGRITY AND </w:t>
      </w:r>
      <w:r w:rsidR="00C00593">
        <w:t>CREDIT RATINGS</w:t>
      </w:r>
      <w:bookmarkEnd w:id="18"/>
      <w:bookmarkEnd w:id="19"/>
    </w:p>
    <w:p w14:paraId="1E93500E" w14:textId="77777777" w:rsidR="00DF5BD6" w:rsidRPr="00DF5BD6" w:rsidRDefault="00DF5BD6" w:rsidP="009F0A90">
      <w:pPr>
        <w:widowControl w:val="0"/>
        <w:tabs>
          <w:tab w:val="left" w:pos="-1440"/>
        </w:tabs>
        <w:spacing w:line="480" w:lineRule="auto"/>
        <w:ind w:left="720" w:hanging="720"/>
        <w:jc w:val="both"/>
        <w:rPr>
          <w:b/>
          <w:szCs w:val="24"/>
        </w:rPr>
      </w:pPr>
      <w:r w:rsidRPr="00DF5BD6">
        <w:rPr>
          <w:b/>
          <w:szCs w:val="24"/>
        </w:rPr>
        <w:t>Q.</w:t>
      </w:r>
      <w:r w:rsidRPr="00DF5BD6">
        <w:rPr>
          <w:b/>
          <w:szCs w:val="24"/>
        </w:rPr>
        <w:tab/>
        <w:t>WHAT TOPIC</w:t>
      </w:r>
      <w:r w:rsidR="00AF22EE">
        <w:rPr>
          <w:b/>
          <w:szCs w:val="24"/>
        </w:rPr>
        <w:t>S</w:t>
      </w:r>
      <w:r w:rsidRPr="00DF5BD6">
        <w:rPr>
          <w:b/>
          <w:szCs w:val="24"/>
        </w:rPr>
        <w:t xml:space="preserve"> DO YOU DISCUSS IN THIS SECTION OF YOUR </w:t>
      </w:r>
      <w:r>
        <w:rPr>
          <w:b/>
          <w:szCs w:val="24"/>
        </w:rPr>
        <w:t xml:space="preserve">DIRECT </w:t>
      </w:r>
      <w:r w:rsidRPr="00DF5BD6">
        <w:rPr>
          <w:b/>
          <w:szCs w:val="24"/>
        </w:rPr>
        <w:t>TESTIMONY?</w:t>
      </w:r>
    </w:p>
    <w:p w14:paraId="4F42D040" w14:textId="77EEDA27" w:rsidR="00B47485" w:rsidRPr="00DE00DF" w:rsidRDefault="5B9D9C77" w:rsidP="00921AD7">
      <w:pPr>
        <w:pStyle w:val="CRAnswer"/>
      </w:pPr>
      <w:r>
        <w:t>A.</w:t>
      </w:r>
      <w:r w:rsidR="00DF5BD6">
        <w:tab/>
      </w:r>
      <w:r w:rsidR="2B65C7E3">
        <w:t xml:space="preserve">In this part of my testimony, I explain </w:t>
      </w:r>
      <w:r w:rsidR="4C795487">
        <w:t>the criteria and methodologies the rating agencies use to evaluate utilities’ financial strength and stability, which are reflected in the rating agencies’ credit ratings and outlooks for those utilities</w:t>
      </w:r>
      <w:r w:rsidR="00E65206">
        <w:t xml:space="preserve"> for context on how our credit rating is derived.</w:t>
      </w:r>
      <w:r w:rsidR="4C795487">
        <w:t xml:space="preserve">  I then explain the </w:t>
      </w:r>
      <w:r w:rsidR="2B65C7E3">
        <w:t xml:space="preserve">importance of having a capital structure that will </w:t>
      </w:r>
      <w:r w:rsidR="00A76476">
        <w:t>sufficient</w:t>
      </w:r>
      <w:r w:rsidR="009B3AFA">
        <w:t xml:space="preserve">ly </w:t>
      </w:r>
      <w:r w:rsidR="2B65C7E3">
        <w:t xml:space="preserve">preserve </w:t>
      </w:r>
      <w:r w:rsidR="003E74D1">
        <w:t xml:space="preserve">or perhaps improve </w:t>
      </w:r>
      <w:r w:rsidR="2B65C7E3">
        <w:t xml:space="preserve">the </w:t>
      </w:r>
      <w:r w:rsidR="6A4DF0BB">
        <w:t xml:space="preserve">quality of the Company’s credit ratings and </w:t>
      </w:r>
      <w:r w:rsidR="2B65C7E3">
        <w:t>financial integrity</w:t>
      </w:r>
      <w:r w:rsidR="003139EF">
        <w:t>. T</w:t>
      </w:r>
      <w:r w:rsidR="00E76F92">
        <w:t xml:space="preserve">his includes </w:t>
      </w:r>
      <w:r w:rsidR="00BE0C43">
        <w:t>generat</w:t>
      </w:r>
      <w:r w:rsidR="007B11FE">
        <w:t>ing</w:t>
      </w:r>
      <w:r w:rsidR="00BE0C43">
        <w:t xml:space="preserve"> </w:t>
      </w:r>
      <w:r w:rsidR="00355647">
        <w:t xml:space="preserve">adequate </w:t>
      </w:r>
      <w:r w:rsidR="00EB576E">
        <w:t xml:space="preserve">cash flows </w:t>
      </w:r>
      <w:r w:rsidR="00BE0C43">
        <w:t xml:space="preserve">to </w:t>
      </w:r>
      <w:r w:rsidR="00EB576E">
        <w:t>fund</w:t>
      </w:r>
      <w:r w:rsidR="00BE0C43">
        <w:t xml:space="preserve"> interest expense pay</w:t>
      </w:r>
      <w:r w:rsidR="008E5237">
        <w:t>ments</w:t>
      </w:r>
      <w:r w:rsidR="00EB576E">
        <w:t xml:space="preserve"> </w:t>
      </w:r>
      <w:r w:rsidR="00555C63">
        <w:t xml:space="preserve">in service </w:t>
      </w:r>
      <w:r w:rsidR="00FE1C08">
        <w:t xml:space="preserve">of the Company’s debt </w:t>
      </w:r>
      <w:r w:rsidR="00144ED4">
        <w:t xml:space="preserve">while also </w:t>
      </w:r>
      <w:r w:rsidR="00357630">
        <w:t>fund</w:t>
      </w:r>
      <w:r w:rsidR="00144ED4">
        <w:t>ing</w:t>
      </w:r>
      <w:r w:rsidR="00357630">
        <w:t xml:space="preserve"> incremental in</w:t>
      </w:r>
      <w:r w:rsidR="00C34E02">
        <w:t>vestments</w:t>
      </w:r>
      <w:r w:rsidR="006C5DE1">
        <w:t xml:space="preserve"> </w:t>
      </w:r>
      <w:r w:rsidR="00555C63">
        <w:t xml:space="preserve">which </w:t>
      </w:r>
      <w:r w:rsidR="006C5DE1">
        <w:t>can directly</w:t>
      </w:r>
      <w:r w:rsidR="001123B8">
        <w:t xml:space="preserve"> influence </w:t>
      </w:r>
      <w:r w:rsidR="00DD3131">
        <w:t>credit metrics</w:t>
      </w:r>
      <w:r w:rsidR="00C34E02">
        <w:t xml:space="preserve">. </w:t>
      </w:r>
      <w:r w:rsidR="008E5237">
        <w:t xml:space="preserve"> </w:t>
      </w:r>
      <w:r w:rsidR="00C10F55">
        <w:t xml:space="preserve">I will also describe how such credit ratings are important to </w:t>
      </w:r>
      <w:r w:rsidR="2B65C7E3">
        <w:t>maintain access to capital on reasonable terms in all market conditions</w:t>
      </w:r>
      <w:r w:rsidR="00C5636D">
        <w:t xml:space="preserve"> </w:t>
      </w:r>
      <w:r w:rsidR="00DC2454">
        <w:t>to finance system safety, reliability and resiliency, and growth</w:t>
      </w:r>
      <w:r w:rsidR="2B65C7E3">
        <w:t xml:space="preserve">. </w:t>
      </w:r>
      <w:r w:rsidR="607AE95F">
        <w:t>Finally, I discuss the rating agencies’</w:t>
      </w:r>
      <w:r w:rsidR="2B65C7E3">
        <w:t xml:space="preserve"> current and </w:t>
      </w:r>
      <w:r w:rsidR="6A4DF0BB">
        <w:t>historic</w:t>
      </w:r>
      <w:r w:rsidR="607AE95F">
        <w:t xml:space="preserve"> views of </w:t>
      </w:r>
      <w:r w:rsidR="4C795487">
        <w:t>C</w:t>
      </w:r>
      <w:r w:rsidR="607AE95F">
        <w:t>enterPoint Houston’s financial strength.</w:t>
      </w:r>
    </w:p>
    <w:p w14:paraId="59846B07" w14:textId="48E1AD9F" w:rsidR="009F0A90" w:rsidRPr="00C96572" w:rsidRDefault="000146CF" w:rsidP="008B5E62">
      <w:pPr>
        <w:pStyle w:val="CROutline2"/>
        <w:keepNext/>
      </w:pPr>
      <w:bookmarkStart w:id="20" w:name="_Toc159433762"/>
      <w:bookmarkStart w:id="21" w:name="_Toc159434276"/>
      <w:r w:rsidRPr="00C96572">
        <w:t>Rating Agency Criteria and Methodologies</w:t>
      </w:r>
      <w:bookmarkEnd w:id="20"/>
      <w:bookmarkEnd w:id="21"/>
      <w:r w:rsidR="009F0A90" w:rsidRPr="00C96572">
        <w:t xml:space="preserve"> </w:t>
      </w:r>
    </w:p>
    <w:p w14:paraId="480AD68A" w14:textId="2876D94E" w:rsidR="009F0A90" w:rsidRPr="009F0A90" w:rsidRDefault="009F0A90" w:rsidP="008060C4">
      <w:pPr>
        <w:pStyle w:val="CRQuestion"/>
        <w:rPr>
          <w:b w:val="0"/>
          <w:lang w:val="x-none" w:eastAsia="x-none"/>
        </w:rPr>
      </w:pPr>
      <w:r w:rsidRPr="50FC1313">
        <w:t>Q.</w:t>
      </w:r>
      <w:r>
        <w:tab/>
      </w:r>
      <w:r w:rsidR="00B34919" w:rsidRPr="50FC1313">
        <w:t xml:space="preserve">WHAT RESOURCES DO INVESTORS RELY ON FOR </w:t>
      </w:r>
      <w:r w:rsidR="077DE1BA" w:rsidRPr="50FC1313">
        <w:rPr>
          <w:bCs/>
        </w:rPr>
        <w:t>EVALUATING</w:t>
      </w:r>
      <w:r w:rsidR="00B34919" w:rsidRPr="50FC1313">
        <w:rPr>
          <w:bCs/>
        </w:rPr>
        <w:t xml:space="preserve"> </w:t>
      </w:r>
      <w:r w:rsidR="00B34919" w:rsidRPr="50FC1313">
        <w:t>INVESTMENT QUALITY</w:t>
      </w:r>
      <w:r w:rsidRPr="50FC1313">
        <w:t>?</w:t>
      </w:r>
    </w:p>
    <w:p w14:paraId="62D554A8" w14:textId="1BA90C33" w:rsidR="009F0A90" w:rsidRPr="009F0A90" w:rsidRDefault="009F0A90" w:rsidP="008060C4">
      <w:pPr>
        <w:pStyle w:val="CRAnswer"/>
      </w:pPr>
      <w:r w:rsidRPr="009F0A90">
        <w:rPr>
          <w:caps/>
          <w:lang w:val="x-none"/>
        </w:rPr>
        <w:t>A.</w:t>
      </w:r>
      <w:r w:rsidRPr="009F0A90">
        <w:rPr>
          <w:caps/>
          <w:lang w:val="x-none"/>
        </w:rPr>
        <w:tab/>
      </w:r>
      <w:r w:rsidRPr="009F0A90">
        <w:rPr>
          <w:lang w:val="x-none"/>
        </w:rPr>
        <w:t xml:space="preserve">Investors </w:t>
      </w:r>
      <w:r w:rsidRPr="009F0A90">
        <w:t>use</w:t>
      </w:r>
      <w:r w:rsidRPr="009F0A90">
        <w:rPr>
          <w:lang w:val="x-none"/>
        </w:rPr>
        <w:t xml:space="preserve"> </w:t>
      </w:r>
      <w:r w:rsidR="00AE2ABB">
        <w:t xml:space="preserve">a variety of </w:t>
      </w:r>
      <w:r w:rsidR="00B34919">
        <w:t>resources</w:t>
      </w:r>
      <w:r w:rsidR="00AE2ABB">
        <w:t xml:space="preserve">, but </w:t>
      </w:r>
      <w:r w:rsidR="004774C6">
        <w:t>typically credit investors (also known as fixed income or debt investors)</w:t>
      </w:r>
      <w:r w:rsidR="00DE00DF">
        <w:t xml:space="preserve">, </w:t>
      </w:r>
      <w:r w:rsidR="00AE2ABB">
        <w:t xml:space="preserve">rely on </w:t>
      </w:r>
      <w:r w:rsidRPr="009F0A90">
        <w:rPr>
          <w:lang w:val="x-none"/>
        </w:rPr>
        <w:t>company-specific credit ratings published by the major credit rating agencies</w:t>
      </w:r>
      <w:r w:rsidRPr="009F0A90">
        <w:t>—</w:t>
      </w:r>
      <w:r w:rsidR="00FF47D7" w:rsidRPr="009F0A90">
        <w:rPr>
          <w:bCs/>
        </w:rPr>
        <w:t>Moody’s</w:t>
      </w:r>
      <w:r w:rsidR="00FF47D7">
        <w:rPr>
          <w:bCs/>
        </w:rPr>
        <w:t xml:space="preserve"> Investors Service (“Moody’s”), </w:t>
      </w:r>
      <w:r w:rsidRPr="009F0A90">
        <w:t>S</w:t>
      </w:r>
      <w:r>
        <w:t>tandard &amp; Poor’s (“S</w:t>
      </w:r>
      <w:r w:rsidRPr="009F0A90">
        <w:t>&amp;P</w:t>
      </w:r>
      <w:r>
        <w:t>”)</w:t>
      </w:r>
      <w:r w:rsidRPr="009F0A90">
        <w:rPr>
          <w:bCs/>
        </w:rPr>
        <w:t>, and Fitch</w:t>
      </w:r>
      <w:r>
        <w:rPr>
          <w:bCs/>
        </w:rPr>
        <w:t xml:space="preserve"> Ratings (“Fitch”)</w:t>
      </w:r>
      <w:r w:rsidRPr="009F0A90">
        <w:rPr>
          <w:bCs/>
        </w:rPr>
        <w:t xml:space="preserve">—as </w:t>
      </w:r>
      <w:r w:rsidRPr="009F0A90">
        <w:rPr>
          <w:lang w:val="x-none"/>
        </w:rPr>
        <w:t>a</w:t>
      </w:r>
      <w:r w:rsidR="004774C6">
        <w:t>n</w:t>
      </w:r>
      <w:r w:rsidRPr="009F0A90">
        <w:rPr>
          <w:lang w:val="x-none"/>
        </w:rPr>
        <w:t xml:space="preserve"> indication of a company’s financial strength. </w:t>
      </w:r>
      <w:r w:rsidRPr="009F0A90">
        <w:t xml:space="preserve"> Credit ratings are assigned </w:t>
      </w:r>
      <w:r w:rsidR="00FF47D7">
        <w:t>based on the</w:t>
      </w:r>
      <w:r w:rsidRPr="009F0A90">
        <w:t xml:space="preserve"> </w:t>
      </w:r>
      <w:r w:rsidR="00C520E8">
        <w:t xml:space="preserve">rating </w:t>
      </w:r>
      <w:r w:rsidRPr="009F0A90">
        <w:lastRenderedPageBreak/>
        <w:t>agencies</w:t>
      </w:r>
      <w:r w:rsidR="00AB3172">
        <w:t>’</w:t>
      </w:r>
      <w:r w:rsidRPr="009F0A90">
        <w:t xml:space="preserve"> </w:t>
      </w:r>
      <w:r w:rsidRPr="009F0A90">
        <w:rPr>
          <w:lang w:val="x-none"/>
        </w:rPr>
        <w:t xml:space="preserve">comprehensive quantitative and qualitative </w:t>
      </w:r>
      <w:r w:rsidR="00FF47D7">
        <w:t>analysis</w:t>
      </w:r>
      <w:r w:rsidR="00FF47D7" w:rsidRPr="009F0A90">
        <w:rPr>
          <w:lang w:val="x-none"/>
        </w:rPr>
        <w:t xml:space="preserve"> </w:t>
      </w:r>
      <w:r w:rsidRPr="009F0A90">
        <w:rPr>
          <w:lang w:val="x-none"/>
        </w:rPr>
        <w:t xml:space="preserve">of a company and the business environment in which it operates. </w:t>
      </w:r>
    </w:p>
    <w:p w14:paraId="2D1D99C8" w14:textId="77777777" w:rsidR="009F0A90" w:rsidRPr="009F0A90" w:rsidRDefault="009F0A90" w:rsidP="00C47A99">
      <w:pPr>
        <w:pStyle w:val="CRQuestion"/>
        <w:rPr>
          <w:b w:val="0"/>
          <w:bCs/>
          <w:lang w:val="x-none" w:eastAsia="x-none"/>
        </w:rPr>
      </w:pPr>
      <w:r w:rsidRPr="009F0A90">
        <w:rPr>
          <w:lang w:val="x-none"/>
        </w:rPr>
        <w:t>Q.</w:t>
      </w:r>
      <w:r w:rsidRPr="009F0A90">
        <w:rPr>
          <w:lang w:val="x-none"/>
        </w:rPr>
        <w:tab/>
      </w:r>
      <w:r w:rsidRPr="009F0A90">
        <w:t>PLEASE EXPLAIN THE RATING AGENCY SCALES</w:t>
      </w:r>
      <w:r w:rsidRPr="009F0A90">
        <w:rPr>
          <w:lang w:val="x-none"/>
        </w:rPr>
        <w:t>.</w:t>
      </w:r>
    </w:p>
    <w:p w14:paraId="7FFCD555" w14:textId="067AF357" w:rsidR="001F4AE4" w:rsidRDefault="009F0A90" w:rsidP="00C47A99">
      <w:pPr>
        <w:pStyle w:val="CRAnswer"/>
      </w:pPr>
      <w:r w:rsidRPr="50FC1313">
        <w:t>A.</w:t>
      </w:r>
      <w:r w:rsidRPr="009F0A90">
        <w:tab/>
      </w:r>
      <w:r w:rsidR="00AE2ABB" w:rsidRPr="50FC1313">
        <w:t xml:space="preserve">The </w:t>
      </w:r>
      <w:r w:rsidRPr="50FC1313">
        <w:t xml:space="preserve">rating agencies </w:t>
      </w:r>
      <w:r w:rsidR="00AE2ABB" w:rsidRPr="50FC1313">
        <w:t>issue</w:t>
      </w:r>
      <w:r w:rsidRPr="50FC1313">
        <w:t xml:space="preserve"> ratings for </w:t>
      </w:r>
      <w:r w:rsidR="00AE2ABB" w:rsidRPr="50FC1313">
        <w:t xml:space="preserve">both the </w:t>
      </w:r>
      <w:r w:rsidRPr="50FC1313">
        <w:t xml:space="preserve">business entity as a whole and for the various debt issuances of the entity. </w:t>
      </w:r>
      <w:r w:rsidRPr="009F0A90">
        <w:t xml:space="preserve"> </w:t>
      </w:r>
      <w:r w:rsidRPr="50FC1313">
        <w:t xml:space="preserve">For example, </w:t>
      </w:r>
      <w:r w:rsidR="00C520E8" w:rsidRPr="50FC1313">
        <w:t>Moody’s assigns a</w:t>
      </w:r>
      <w:r w:rsidR="00C14D8C" w:rsidRPr="50FC1313">
        <w:t xml:space="preserve"> long-term</w:t>
      </w:r>
      <w:r w:rsidR="00C520E8" w:rsidRPr="50FC1313">
        <w:t xml:space="preserve"> “issuer rating” </w:t>
      </w:r>
      <w:r w:rsidR="00D35B3A" w:rsidRPr="50FC1313">
        <w:t>that</w:t>
      </w:r>
      <w:r w:rsidRPr="50FC1313">
        <w:t xml:space="preserve"> reflects the general credit risk of the business enterprise and </w:t>
      </w:r>
      <w:r w:rsidR="00C520E8" w:rsidRPr="50FC1313">
        <w:t>Moody’s</w:t>
      </w:r>
      <w:r w:rsidRPr="50FC1313">
        <w:t xml:space="preserve"> opinion of the</w:t>
      </w:r>
      <w:r w:rsidR="007B4681" w:rsidRPr="50FC1313">
        <w:t xml:space="preserve"> debt</w:t>
      </w:r>
      <w:r w:rsidR="00AF1BA5">
        <w:t xml:space="preserve"> </w:t>
      </w:r>
      <w:r w:rsidR="00FF47D7" w:rsidRPr="50FC1313">
        <w:t>issuer’s</w:t>
      </w:r>
      <w:r w:rsidRPr="009F0A90">
        <w:t xml:space="preserve"> </w:t>
      </w:r>
      <w:r w:rsidRPr="50FC1313">
        <w:t>overall</w:t>
      </w:r>
      <w:r w:rsidRPr="00AE2ABB">
        <w:t xml:space="preserve"> </w:t>
      </w:r>
      <w:r w:rsidRPr="50FC1313">
        <w:t>capacity to pay its scheduled financial obligations</w:t>
      </w:r>
      <w:r w:rsidRPr="009F0A90">
        <w:t>.</w:t>
      </w:r>
      <w:r w:rsidR="00C520E8" w:rsidRPr="50FC1313">
        <w:rPr>
          <w:rStyle w:val="FootnoteReference"/>
          <w:lang w:eastAsia="x-none"/>
        </w:rPr>
        <w:footnoteReference w:id="7"/>
      </w:r>
      <w:r w:rsidRPr="009F0A90">
        <w:t xml:space="preserve">  </w:t>
      </w:r>
      <w:bookmarkStart w:id="22" w:name="_Hlk156214803"/>
      <w:r w:rsidR="00831234" w:rsidRPr="50FC1313">
        <w:t xml:space="preserve">The issuer rating </w:t>
      </w:r>
      <w:r w:rsidR="00FF47D7" w:rsidRPr="50FC1313">
        <w:t>is the core rating of the business enterprise</w:t>
      </w:r>
      <w:r w:rsidRPr="009F0A90">
        <w:t xml:space="preserve">. </w:t>
      </w:r>
      <w:r w:rsidRPr="50FC1313">
        <w:t>I</w:t>
      </w:r>
      <w:r w:rsidR="00526C74" w:rsidRPr="50FC1313">
        <w:t xml:space="preserve">n contrast, </w:t>
      </w:r>
      <w:r w:rsidRPr="50FC1313">
        <w:t xml:space="preserve">ratings </w:t>
      </w:r>
      <w:r w:rsidR="00C14D8C" w:rsidRPr="50FC1313">
        <w:t xml:space="preserve">on individual debt </w:t>
      </w:r>
      <w:r w:rsidR="00FF47D7" w:rsidRPr="50FC1313">
        <w:t xml:space="preserve">securities are given at time of issuance </w:t>
      </w:r>
      <w:r w:rsidR="001F4AE4" w:rsidRPr="50FC1313">
        <w:t xml:space="preserve">and they </w:t>
      </w:r>
      <w:r w:rsidRPr="50FC1313">
        <w:t xml:space="preserve">reflect the likelihood that principal and interest on </w:t>
      </w:r>
      <w:r w:rsidR="00C14D8C" w:rsidRPr="50FC1313">
        <w:t xml:space="preserve">those </w:t>
      </w:r>
      <w:r w:rsidRPr="50FC1313">
        <w:t xml:space="preserve">specific </w:t>
      </w:r>
      <w:r w:rsidR="00FF47D7" w:rsidRPr="50FC1313">
        <w:t>securities</w:t>
      </w:r>
      <w:r w:rsidRPr="50FC1313">
        <w:rPr>
          <w:i/>
        </w:rPr>
        <w:t xml:space="preserve"> </w:t>
      </w:r>
      <w:r w:rsidRPr="50FC1313">
        <w:t xml:space="preserve">will be paid in a timely manner and </w:t>
      </w:r>
      <w:proofErr w:type="gramStart"/>
      <w:r w:rsidRPr="50FC1313">
        <w:t>take into account</w:t>
      </w:r>
      <w:proofErr w:type="gramEnd"/>
      <w:r w:rsidRPr="50FC1313">
        <w:t xml:space="preserve"> the recovery prospects in the event of default.</w:t>
      </w:r>
      <w:r w:rsidR="00831234">
        <w:t xml:space="preserve">  </w:t>
      </w:r>
    </w:p>
    <w:bookmarkEnd w:id="22"/>
    <w:p w14:paraId="63A164F2" w14:textId="4C33364F" w:rsidR="00831234" w:rsidRDefault="00831234" w:rsidP="00462B4C">
      <w:pPr>
        <w:snapToGrid w:val="0"/>
        <w:spacing w:line="480" w:lineRule="auto"/>
        <w:ind w:left="720" w:firstLine="720"/>
        <w:jc w:val="both"/>
        <w:rPr>
          <w:szCs w:val="24"/>
          <w:lang w:eastAsia="x-none"/>
        </w:rPr>
      </w:pPr>
      <w:r>
        <w:rPr>
          <w:szCs w:val="24"/>
          <w:lang w:eastAsia="x-none"/>
        </w:rPr>
        <w:t xml:space="preserve">As shown below in </w:t>
      </w:r>
      <w:r w:rsidR="009F0A90" w:rsidRPr="009F0A90">
        <w:rPr>
          <w:szCs w:val="24"/>
          <w:lang w:val="x-none" w:eastAsia="x-none"/>
        </w:rPr>
        <w:t>T</w:t>
      </w:r>
      <w:r>
        <w:rPr>
          <w:szCs w:val="24"/>
          <w:lang w:eastAsia="x-none"/>
        </w:rPr>
        <w:t>able</w:t>
      </w:r>
      <w:r w:rsidR="00F95970">
        <w:rPr>
          <w:szCs w:val="24"/>
          <w:lang w:eastAsia="x-none"/>
        </w:rPr>
        <w:t xml:space="preserve"> </w:t>
      </w:r>
      <w:r w:rsidR="00057ECC">
        <w:rPr>
          <w:szCs w:val="24"/>
          <w:lang w:eastAsia="x-none"/>
        </w:rPr>
        <w:t>JRichert</w:t>
      </w:r>
      <w:r w:rsidR="002C5CA7">
        <w:rPr>
          <w:szCs w:val="24"/>
          <w:lang w:eastAsia="x-none"/>
        </w:rPr>
        <w:t>-</w:t>
      </w:r>
      <w:r w:rsidR="0037294A">
        <w:rPr>
          <w:szCs w:val="24"/>
          <w:lang w:eastAsia="x-none"/>
        </w:rPr>
        <w:t>1</w:t>
      </w:r>
      <w:r>
        <w:rPr>
          <w:szCs w:val="24"/>
          <w:lang w:eastAsia="x-none"/>
        </w:rPr>
        <w:t>, t</w:t>
      </w:r>
      <w:r w:rsidR="009F0A90" w:rsidRPr="009F0A90">
        <w:rPr>
          <w:szCs w:val="24"/>
          <w:lang w:val="x-none" w:eastAsia="x-none"/>
        </w:rPr>
        <w:t>he</w:t>
      </w:r>
      <w:r w:rsidR="00FF47D7">
        <w:rPr>
          <w:szCs w:val="24"/>
          <w:lang w:eastAsia="x-none"/>
        </w:rPr>
        <w:t xml:space="preserve"> general </w:t>
      </w:r>
      <w:r w:rsidR="009F0A90" w:rsidRPr="009F0A90">
        <w:rPr>
          <w:szCs w:val="24"/>
          <w:lang w:val="x-none" w:eastAsia="x-none"/>
        </w:rPr>
        <w:t>rating</w:t>
      </w:r>
      <w:r>
        <w:rPr>
          <w:szCs w:val="24"/>
          <w:lang w:eastAsia="x-none"/>
        </w:rPr>
        <w:t xml:space="preserve">s </w:t>
      </w:r>
      <w:r w:rsidR="00FF47D7">
        <w:rPr>
          <w:szCs w:val="24"/>
          <w:lang w:eastAsia="x-none"/>
        </w:rPr>
        <w:t xml:space="preserve">scale </w:t>
      </w:r>
      <w:r>
        <w:rPr>
          <w:szCs w:val="24"/>
          <w:lang w:eastAsia="x-none"/>
        </w:rPr>
        <w:t>of the three rating agencies are similar, but not identical</w:t>
      </w:r>
      <w:r w:rsidR="00CB7E18">
        <w:rPr>
          <w:szCs w:val="24"/>
          <w:lang w:eastAsia="x-none"/>
        </w:rPr>
        <w:t xml:space="preserve">. </w:t>
      </w:r>
      <w:r w:rsidR="00020272">
        <w:rPr>
          <w:szCs w:val="24"/>
          <w:lang w:eastAsia="x-none"/>
        </w:rPr>
        <w:t xml:space="preserve"> </w:t>
      </w:r>
      <w:r w:rsidR="000F7907">
        <w:rPr>
          <w:szCs w:val="24"/>
          <w:lang w:eastAsia="x-none"/>
        </w:rPr>
        <w:t xml:space="preserve">CenterPoint Houston’s current ratings </w:t>
      </w:r>
      <w:r w:rsidR="00214D1C">
        <w:rPr>
          <w:szCs w:val="24"/>
          <w:lang w:eastAsia="x-none"/>
        </w:rPr>
        <w:t>fall within the</w:t>
      </w:r>
      <w:r w:rsidR="000F7907">
        <w:rPr>
          <w:szCs w:val="24"/>
          <w:lang w:eastAsia="x-none"/>
        </w:rPr>
        <w:t xml:space="preserve"> </w:t>
      </w:r>
      <w:r w:rsidR="00020272">
        <w:rPr>
          <w:szCs w:val="24"/>
          <w:lang w:eastAsia="x-none"/>
        </w:rPr>
        <w:t>highlighted</w:t>
      </w:r>
      <w:r w:rsidR="00CB7E18">
        <w:rPr>
          <w:szCs w:val="24"/>
          <w:lang w:eastAsia="x-none"/>
        </w:rPr>
        <w:t xml:space="preserve"> </w:t>
      </w:r>
      <w:r w:rsidR="00214D1C">
        <w:rPr>
          <w:szCs w:val="24"/>
          <w:lang w:eastAsia="x-none"/>
        </w:rPr>
        <w:t>row</w:t>
      </w:r>
      <w:r w:rsidR="00CB7E18">
        <w:rPr>
          <w:szCs w:val="24"/>
          <w:lang w:eastAsia="x-none"/>
        </w:rPr>
        <w:t xml:space="preserve"> in the table</w:t>
      </w:r>
      <w:r>
        <w:rPr>
          <w:szCs w:val="24"/>
          <w:lang w:eastAsia="x-none"/>
        </w:rPr>
        <w:t>:</w:t>
      </w:r>
    </w:p>
    <w:p w14:paraId="2B3646D4" w14:textId="29A36D4E" w:rsidR="005810FA" w:rsidRPr="00831234" w:rsidRDefault="00154813" w:rsidP="00154813">
      <w:pPr>
        <w:keepNext/>
        <w:snapToGrid w:val="0"/>
        <w:spacing w:after="120"/>
        <w:jc w:val="center"/>
        <w:rPr>
          <w:b/>
          <w:szCs w:val="24"/>
          <w:lang w:eastAsia="x-none"/>
        </w:rPr>
      </w:pPr>
      <w:r>
        <w:rPr>
          <w:noProof/>
        </w:rPr>
        <w:lastRenderedPageBreak/>
        <w:drawing>
          <wp:anchor distT="0" distB="0" distL="114300" distR="114300" simplePos="0" relativeHeight="251658242" behindDoc="0" locked="0" layoutInCell="1" allowOverlap="1" wp14:anchorId="7ACD8FCD" wp14:editId="101ECB2D">
            <wp:simplePos x="0" y="0"/>
            <wp:positionH relativeFrom="margin">
              <wp:align>center</wp:align>
            </wp:positionH>
            <wp:positionV relativeFrom="paragraph">
              <wp:posOffset>247650</wp:posOffset>
            </wp:positionV>
            <wp:extent cx="4676775" cy="4733925"/>
            <wp:effectExtent l="19050" t="19050" r="28575" b="28575"/>
            <wp:wrapTopAndBottom/>
            <wp:docPr id="12" name="Picture 12">
              <a:extLst xmlns:a="http://schemas.openxmlformats.org/drawingml/2006/main">
                <a:ext uri="{FF2B5EF4-FFF2-40B4-BE49-F238E27FC236}">
                  <a16:creationId xmlns:a16="http://schemas.microsoft.com/office/drawing/2014/main" id="{CB154221-DEBB-6E7B-811C-814C7D82CF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B154221-DEBB-6E7B-811C-814C7D82CF94}"/>
                        </a:ext>
                      </a:extLst>
                    </pic:cNvPr>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0161" r="2317"/>
                    <a:stretch/>
                  </pic:blipFill>
                  <pic:spPr bwMode="auto">
                    <a:xfrm>
                      <a:off x="0" y="0"/>
                      <a:ext cx="4676775" cy="4733925"/>
                    </a:xfrm>
                    <a:prstGeom prst="rect">
                      <a:avLst/>
                    </a:prstGeom>
                    <a:noFill/>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31234">
        <w:rPr>
          <w:b/>
          <w:szCs w:val="24"/>
          <w:lang w:eastAsia="x-none"/>
        </w:rPr>
        <w:t xml:space="preserve">Table </w:t>
      </w:r>
      <w:r w:rsidR="005D1CAA">
        <w:rPr>
          <w:b/>
          <w:szCs w:val="24"/>
          <w:lang w:eastAsia="x-none"/>
        </w:rPr>
        <w:t>JRichert</w:t>
      </w:r>
      <w:r w:rsidR="007D259C">
        <w:rPr>
          <w:b/>
          <w:szCs w:val="24"/>
          <w:lang w:eastAsia="x-none"/>
        </w:rPr>
        <w:t>-</w:t>
      </w:r>
      <w:r w:rsidR="009A1F58">
        <w:rPr>
          <w:b/>
          <w:szCs w:val="24"/>
          <w:lang w:eastAsia="x-none"/>
        </w:rPr>
        <w:t>1</w:t>
      </w:r>
      <w:r w:rsidR="00646741">
        <w:rPr>
          <w:b/>
          <w:szCs w:val="24"/>
          <w:lang w:eastAsia="x-none"/>
        </w:rPr>
        <w:t xml:space="preserve">. </w:t>
      </w:r>
      <w:r w:rsidR="00831234">
        <w:rPr>
          <w:b/>
          <w:szCs w:val="24"/>
          <w:lang w:eastAsia="x-none"/>
        </w:rPr>
        <w:t xml:space="preserve"> Bond Ratings</w:t>
      </w:r>
    </w:p>
    <w:p w14:paraId="009E8966" w14:textId="74D1B3B8" w:rsidR="009F0A90" w:rsidRDefault="00154813" w:rsidP="00154813">
      <w:pPr>
        <w:pStyle w:val="CRAnswer"/>
        <w:spacing w:before="240"/>
      </w:pPr>
      <w:r>
        <w:tab/>
      </w:r>
      <w:r w:rsidR="009F0A90" w:rsidRPr="009F0A90">
        <w:t xml:space="preserve">The ratings </w:t>
      </w:r>
      <w:r w:rsidR="00831234">
        <w:t>a</w:t>
      </w:r>
      <w:r w:rsidR="009F0A90" w:rsidRPr="009F0A90">
        <w:t xml:space="preserve">re </w:t>
      </w:r>
      <w:r w:rsidR="009F0A90" w:rsidRPr="009F0A90">
        <w:rPr>
          <w:lang w:val="x-none"/>
        </w:rPr>
        <w:t xml:space="preserve">further delineated through the use of </w:t>
      </w:r>
      <w:r w:rsidR="009F0A90" w:rsidRPr="009F0A90">
        <w:t xml:space="preserve">pluses or minuses </w:t>
      </w:r>
      <w:r w:rsidR="00AF22EE">
        <w:t>by</w:t>
      </w:r>
      <w:r w:rsidR="00831234">
        <w:t xml:space="preserve"> S&amp;P and Fitch </w:t>
      </w:r>
      <w:r w:rsidR="009F0A90" w:rsidRPr="009F0A90">
        <w:rPr>
          <w:lang w:val="x-none"/>
        </w:rPr>
        <w:t xml:space="preserve">to </w:t>
      </w:r>
      <w:r w:rsidR="009F0A90" w:rsidRPr="00154813">
        <w:rPr>
          <w:lang w:val="x-none"/>
        </w:rPr>
        <w:t>show a company’s relative standing within the categories</w:t>
      </w:r>
      <w:r w:rsidR="00831234" w:rsidRPr="00154813">
        <w:t xml:space="preserve"> (</w:t>
      </w:r>
      <w:r w:rsidR="00831234" w:rsidRPr="00EA2F11">
        <w:rPr>
          <w:i/>
        </w:rPr>
        <w:t>e.g.</w:t>
      </w:r>
      <w:r w:rsidR="00831234" w:rsidRPr="00154813">
        <w:t xml:space="preserve">, A- or BBB+) and through the use of numbers </w:t>
      </w:r>
      <w:r w:rsidR="00AF22EE" w:rsidRPr="00154813">
        <w:t>by</w:t>
      </w:r>
      <w:r w:rsidR="00831234" w:rsidRPr="00154813">
        <w:t xml:space="preserve"> Moody’s (</w:t>
      </w:r>
      <w:r w:rsidR="00831234" w:rsidRPr="00EA2F11">
        <w:rPr>
          <w:i/>
        </w:rPr>
        <w:t>e.g.</w:t>
      </w:r>
      <w:r w:rsidR="00831234" w:rsidRPr="00154813">
        <w:t>, A3 or Baa</w:t>
      </w:r>
      <w:r w:rsidR="00BB5860" w:rsidRPr="00154813">
        <w:t>1</w:t>
      </w:r>
      <w:r w:rsidR="00831234">
        <w:t>)</w:t>
      </w:r>
      <w:r w:rsidR="009F0A90" w:rsidRPr="009F0A90">
        <w:rPr>
          <w:lang w:val="x-none"/>
        </w:rPr>
        <w:t>.</w:t>
      </w:r>
      <w:r w:rsidR="009F0A90" w:rsidRPr="009F0A90">
        <w:t xml:space="preserve"> </w:t>
      </w:r>
      <w:r w:rsidR="0036205B">
        <w:t>As illustrated, r</w:t>
      </w:r>
      <w:r w:rsidR="00BB5860">
        <w:t>atings that fall within the high-grade and medium</w:t>
      </w:r>
      <w:r w:rsidR="00F4276F">
        <w:t>-</w:t>
      </w:r>
      <w:r w:rsidR="00BB5860">
        <w:t xml:space="preserve">grade categories are generally described as being “investment grade” ratings, whereas ratings </w:t>
      </w:r>
      <w:r w:rsidR="002A4853">
        <w:t xml:space="preserve">that fall </w:t>
      </w:r>
      <w:r w:rsidR="00BB5860">
        <w:t xml:space="preserve">below BBB- (or Baa3 for Moody’s) are sometimes described as “junk bond” </w:t>
      </w:r>
      <w:r w:rsidR="00F6413E">
        <w:t xml:space="preserve">or “non-investment grade” </w:t>
      </w:r>
      <w:r w:rsidR="00BB5860">
        <w:t>ratings.</w:t>
      </w:r>
    </w:p>
    <w:p w14:paraId="5DA66A95" w14:textId="2ECF2F92" w:rsidR="00C20CE1" w:rsidRDefault="00154813" w:rsidP="00154813">
      <w:pPr>
        <w:pStyle w:val="CRAnswer"/>
      </w:pPr>
      <w:r>
        <w:tab/>
      </w:r>
      <w:r>
        <w:tab/>
      </w:r>
      <w:r w:rsidR="00C20CE1">
        <w:t xml:space="preserve">In addition, each rating agency assigns an “outlook” to signal the potential direction of a rating over the intermediate term, which is typically six months to </w:t>
      </w:r>
      <w:r w:rsidR="00C20CE1">
        <w:lastRenderedPageBreak/>
        <w:t xml:space="preserve">two years.  A “positive” outlook indicates that the rating may be raised; a “negative” outlook indicates that the rating may be lowered; and a “stable” outlook indicates that the rating is not likely to change. </w:t>
      </w:r>
    </w:p>
    <w:p w14:paraId="31E09DF0" w14:textId="6238677D" w:rsidR="00A7246A" w:rsidRPr="000431DD" w:rsidRDefault="00A7246A" w:rsidP="00A7246A">
      <w:pPr>
        <w:keepNext/>
        <w:widowControl w:val="0"/>
        <w:suppressLineNumbers/>
        <w:tabs>
          <w:tab w:val="left" w:pos="-1440"/>
        </w:tabs>
        <w:spacing w:after="120"/>
        <w:jc w:val="center"/>
        <w:rPr>
          <w:b/>
          <w:szCs w:val="24"/>
        </w:rPr>
      </w:pPr>
      <w:r w:rsidRPr="000431DD">
        <w:rPr>
          <w:b/>
          <w:szCs w:val="24"/>
        </w:rPr>
        <w:t xml:space="preserve">Table </w:t>
      </w:r>
      <w:r w:rsidR="005D1CAA">
        <w:rPr>
          <w:b/>
          <w:szCs w:val="24"/>
        </w:rPr>
        <w:t>JRichert</w:t>
      </w:r>
      <w:r w:rsidR="005703E9">
        <w:rPr>
          <w:b/>
          <w:szCs w:val="24"/>
        </w:rPr>
        <w:t>-</w:t>
      </w:r>
      <w:r w:rsidR="002F6F64">
        <w:rPr>
          <w:b/>
          <w:szCs w:val="24"/>
        </w:rPr>
        <w:t>2</w:t>
      </w:r>
      <w:r w:rsidRPr="000431DD">
        <w:rPr>
          <w:b/>
          <w:szCs w:val="24"/>
        </w:rPr>
        <w:t>.  CenterPoint Houston’s Issuer Ratings History</w:t>
      </w:r>
    </w:p>
    <w:tbl>
      <w:tblPr>
        <w:tblW w:w="792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990"/>
        <w:gridCol w:w="1530"/>
        <w:gridCol w:w="1800"/>
        <w:gridCol w:w="1800"/>
        <w:gridCol w:w="1800"/>
      </w:tblGrid>
      <w:tr w:rsidR="00A7246A" w:rsidRPr="007908ED" w14:paraId="09BE96B9" w14:textId="77777777">
        <w:trPr>
          <w:trHeight w:val="268"/>
          <w:tblHeader/>
        </w:trPr>
        <w:tc>
          <w:tcPr>
            <w:tcW w:w="990" w:type="dxa"/>
            <w:shd w:val="clear" w:color="auto" w:fill="F2F2F2" w:themeFill="background1" w:themeFillShade="F2"/>
            <w:vAlign w:val="center"/>
          </w:tcPr>
          <w:p w14:paraId="1117CCF4" w14:textId="77777777" w:rsidR="00A7246A" w:rsidRPr="000B4B33" w:rsidRDefault="00A7246A">
            <w:pPr>
              <w:jc w:val="center"/>
              <w:rPr>
                <w:szCs w:val="24"/>
              </w:rPr>
            </w:pPr>
          </w:p>
        </w:tc>
        <w:tc>
          <w:tcPr>
            <w:tcW w:w="1530" w:type="dxa"/>
            <w:shd w:val="clear" w:color="auto" w:fill="F2F2F2" w:themeFill="background1" w:themeFillShade="F2"/>
            <w:vAlign w:val="center"/>
          </w:tcPr>
          <w:p w14:paraId="591E76C8" w14:textId="77777777" w:rsidR="00A7246A" w:rsidRPr="000B4B33" w:rsidRDefault="00A7246A">
            <w:pPr>
              <w:jc w:val="center"/>
              <w:rPr>
                <w:b/>
                <w:szCs w:val="24"/>
              </w:rPr>
            </w:pPr>
            <w:r w:rsidRPr="000B4B33">
              <w:rPr>
                <w:b/>
                <w:szCs w:val="24"/>
              </w:rPr>
              <w:t>Time Period</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BFB974" w14:textId="77777777" w:rsidR="00A7246A" w:rsidRDefault="00A7246A">
            <w:pPr>
              <w:jc w:val="center"/>
              <w:rPr>
                <w:b/>
                <w:bCs/>
                <w:szCs w:val="24"/>
              </w:rPr>
            </w:pPr>
            <w:r>
              <w:rPr>
                <w:b/>
                <w:bCs/>
                <w:szCs w:val="24"/>
              </w:rPr>
              <w:t>Moody’s</w:t>
            </w:r>
          </w:p>
        </w:tc>
        <w:tc>
          <w:tcPr>
            <w:tcW w:w="1800" w:type="dxa"/>
            <w:shd w:val="clear" w:color="auto" w:fill="F2F2F2" w:themeFill="background1" w:themeFillShade="F2"/>
            <w:vAlign w:val="center"/>
          </w:tcPr>
          <w:p w14:paraId="563A4A64" w14:textId="77777777" w:rsidR="00A7246A" w:rsidRPr="000B4B33" w:rsidRDefault="00A7246A">
            <w:pPr>
              <w:jc w:val="center"/>
              <w:rPr>
                <w:b/>
                <w:szCs w:val="24"/>
              </w:rPr>
            </w:pPr>
            <w:r w:rsidRPr="000B4B33">
              <w:rPr>
                <w:b/>
                <w:szCs w:val="24"/>
              </w:rPr>
              <w:t>S&amp;P</w:t>
            </w:r>
          </w:p>
        </w:tc>
        <w:tc>
          <w:tcPr>
            <w:tcW w:w="1800" w:type="dxa"/>
            <w:shd w:val="clear" w:color="auto" w:fill="F2F2F2" w:themeFill="background1" w:themeFillShade="F2"/>
            <w:vAlign w:val="center"/>
            <w:hideMark/>
          </w:tcPr>
          <w:p w14:paraId="1544C176" w14:textId="77777777" w:rsidR="00A7246A" w:rsidRPr="000B4B33" w:rsidRDefault="00A7246A">
            <w:pPr>
              <w:jc w:val="center"/>
              <w:rPr>
                <w:b/>
                <w:szCs w:val="24"/>
              </w:rPr>
            </w:pPr>
            <w:r w:rsidRPr="000B4B33">
              <w:rPr>
                <w:b/>
                <w:szCs w:val="24"/>
              </w:rPr>
              <w:t>Fitch</w:t>
            </w:r>
          </w:p>
        </w:tc>
      </w:tr>
      <w:tr w:rsidR="002F6F64" w:rsidRPr="007908ED" w14:paraId="3433783C" w14:textId="77777777">
        <w:trPr>
          <w:trHeight w:val="340"/>
        </w:trPr>
        <w:tc>
          <w:tcPr>
            <w:tcW w:w="990" w:type="dxa"/>
            <w:vMerge w:val="restart"/>
            <w:vAlign w:val="center"/>
          </w:tcPr>
          <w:p w14:paraId="6FA8FC4A" w14:textId="77777777" w:rsidR="002F6F64" w:rsidRPr="000B4B33" w:rsidRDefault="002F6F64" w:rsidP="002F6F64">
            <w:pPr>
              <w:jc w:val="center"/>
              <w:rPr>
                <w:szCs w:val="24"/>
              </w:rPr>
            </w:pPr>
            <w:r w:rsidRPr="000B4B33">
              <w:rPr>
                <w:szCs w:val="24"/>
              </w:rPr>
              <w:t>Issuer Rating</w:t>
            </w:r>
          </w:p>
        </w:tc>
        <w:tc>
          <w:tcPr>
            <w:tcW w:w="1530" w:type="dxa"/>
            <w:vAlign w:val="center"/>
          </w:tcPr>
          <w:p w14:paraId="40E38EDB" w14:textId="1197DDC0" w:rsidR="002F6F64" w:rsidRPr="000B4B33" w:rsidDel="00AF3D3D" w:rsidRDefault="002F6F64" w:rsidP="002F6F64">
            <w:pPr>
              <w:jc w:val="center"/>
              <w:rPr>
                <w:szCs w:val="24"/>
              </w:rPr>
            </w:pPr>
            <w:r w:rsidRPr="000B4B33">
              <w:rPr>
                <w:szCs w:val="24"/>
              </w:rPr>
              <w:t>2020</w:t>
            </w:r>
          </w:p>
        </w:tc>
        <w:tc>
          <w:tcPr>
            <w:tcW w:w="1800" w:type="dxa"/>
            <w:tcBorders>
              <w:top w:val="single" w:sz="4" w:space="0" w:color="auto"/>
              <w:left w:val="single" w:sz="4" w:space="0" w:color="auto"/>
              <w:bottom w:val="single" w:sz="4" w:space="0" w:color="auto"/>
              <w:right w:val="single" w:sz="4" w:space="0" w:color="auto"/>
            </w:tcBorders>
            <w:vAlign w:val="center"/>
          </w:tcPr>
          <w:p w14:paraId="74EC37A7" w14:textId="1D694156" w:rsidR="002F6F64" w:rsidRPr="000B4B33" w:rsidRDefault="002F6F64" w:rsidP="002F6F64">
            <w:pPr>
              <w:jc w:val="center"/>
              <w:rPr>
                <w:szCs w:val="24"/>
              </w:rPr>
            </w:pPr>
            <w:r>
              <w:rPr>
                <w:szCs w:val="24"/>
              </w:rPr>
              <w:t>A3</w:t>
            </w:r>
          </w:p>
        </w:tc>
        <w:tc>
          <w:tcPr>
            <w:tcW w:w="1800" w:type="dxa"/>
            <w:vAlign w:val="center"/>
          </w:tcPr>
          <w:p w14:paraId="2520088A" w14:textId="0CD45A73" w:rsidR="002F6F64" w:rsidRPr="000B4B33" w:rsidRDefault="002F6F64" w:rsidP="002F6F64">
            <w:pPr>
              <w:jc w:val="center"/>
              <w:rPr>
                <w:szCs w:val="24"/>
              </w:rPr>
            </w:pPr>
            <w:r w:rsidRPr="000B4B33">
              <w:rPr>
                <w:szCs w:val="24"/>
              </w:rPr>
              <w:t>BBB+</w:t>
            </w:r>
          </w:p>
        </w:tc>
        <w:tc>
          <w:tcPr>
            <w:tcW w:w="1800" w:type="dxa"/>
            <w:vAlign w:val="center"/>
          </w:tcPr>
          <w:p w14:paraId="58F46E2C" w14:textId="1DF89CA0" w:rsidR="002F6F64" w:rsidRPr="000B4B33" w:rsidRDefault="002F6F64" w:rsidP="002F6F64">
            <w:pPr>
              <w:jc w:val="center"/>
              <w:rPr>
                <w:szCs w:val="24"/>
              </w:rPr>
            </w:pPr>
            <w:r w:rsidRPr="000B4B33">
              <w:rPr>
                <w:szCs w:val="24"/>
              </w:rPr>
              <w:t>A-</w:t>
            </w:r>
          </w:p>
        </w:tc>
      </w:tr>
      <w:tr w:rsidR="002F6F64" w:rsidRPr="007908ED" w14:paraId="6892FDAD" w14:textId="77777777">
        <w:trPr>
          <w:trHeight w:val="340"/>
        </w:trPr>
        <w:tc>
          <w:tcPr>
            <w:tcW w:w="990" w:type="dxa"/>
            <w:vMerge/>
            <w:vAlign w:val="center"/>
          </w:tcPr>
          <w:p w14:paraId="35985F01" w14:textId="77777777" w:rsidR="002F6F64" w:rsidRPr="000B4B33" w:rsidRDefault="002F6F64" w:rsidP="002F6F64">
            <w:pPr>
              <w:jc w:val="center"/>
              <w:rPr>
                <w:szCs w:val="24"/>
              </w:rPr>
            </w:pPr>
          </w:p>
        </w:tc>
        <w:tc>
          <w:tcPr>
            <w:tcW w:w="1530" w:type="dxa"/>
            <w:vAlign w:val="center"/>
          </w:tcPr>
          <w:p w14:paraId="31816E99" w14:textId="575F8FF5" w:rsidR="002F6F64" w:rsidRPr="000B4B33" w:rsidRDefault="002F6F64" w:rsidP="002F6F64">
            <w:pPr>
              <w:jc w:val="center"/>
              <w:rPr>
                <w:szCs w:val="24"/>
              </w:rPr>
            </w:pPr>
            <w:r w:rsidRPr="000B4B33">
              <w:rPr>
                <w:szCs w:val="24"/>
              </w:rPr>
              <w:t>2023</w:t>
            </w:r>
          </w:p>
        </w:tc>
        <w:tc>
          <w:tcPr>
            <w:tcW w:w="1800" w:type="dxa"/>
            <w:tcBorders>
              <w:top w:val="single" w:sz="4" w:space="0" w:color="auto"/>
              <w:left w:val="single" w:sz="4" w:space="0" w:color="auto"/>
              <w:bottom w:val="single" w:sz="4" w:space="0" w:color="auto"/>
              <w:right w:val="single" w:sz="4" w:space="0" w:color="auto"/>
            </w:tcBorders>
            <w:vAlign w:val="center"/>
          </w:tcPr>
          <w:p w14:paraId="4D7CB720" w14:textId="33927451" w:rsidR="002F6F64" w:rsidRDefault="002F6F64" w:rsidP="002F6F64">
            <w:pPr>
              <w:jc w:val="center"/>
              <w:rPr>
                <w:szCs w:val="24"/>
              </w:rPr>
            </w:pPr>
            <w:r>
              <w:rPr>
                <w:noProof/>
              </w:rPr>
              <mc:AlternateContent>
                <mc:Choice Requires="wps">
                  <w:drawing>
                    <wp:anchor distT="0" distB="0" distL="114300" distR="114300" simplePos="0" relativeHeight="251658240" behindDoc="0" locked="0" layoutInCell="1" allowOverlap="1" wp14:anchorId="14851880" wp14:editId="5109AE81">
                      <wp:simplePos x="0" y="0"/>
                      <wp:positionH relativeFrom="column">
                        <wp:posOffset>840740</wp:posOffset>
                      </wp:positionH>
                      <wp:positionV relativeFrom="paragraph">
                        <wp:posOffset>16510</wp:posOffset>
                      </wp:positionV>
                      <wp:extent cx="0" cy="137160"/>
                      <wp:effectExtent l="76200" t="0" r="57150" b="53340"/>
                      <wp:wrapNone/>
                      <wp:docPr id="13" name="Straight Arrow Connector 13"/>
                      <wp:cNvGraphicFramePr/>
                      <a:graphic xmlns:a="http://schemas.openxmlformats.org/drawingml/2006/main">
                        <a:graphicData uri="http://schemas.microsoft.com/office/word/2010/wordprocessingShape">
                          <wps:wsp>
                            <wps:cNvCnPr/>
                            <wps:spPr>
                              <a:xfrm>
                                <a:off x="0" y="0"/>
                                <a:ext cx="0" cy="13716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w16du="http://schemas.microsoft.com/office/word/2023/wordml/word16du" xmlns:arto="http://schemas.microsoft.com/office/word/2006/arto">
                  <w:pict>
                    <v:shapetype w14:anchorId="25CC9CD2" id="_x0000_t32" coordsize="21600,21600" o:spt="32" o:oned="t" path="m,l21600,21600e" filled="f">
                      <v:path arrowok="t" fillok="f" o:connecttype="none"/>
                      <o:lock v:ext="edit" shapetype="t"/>
                    </v:shapetype>
                    <v:shape id="Straight Arrow Connector 13" o:spid="_x0000_s1026" type="#_x0000_t32" style="position:absolute;margin-left:66.2pt;margin-top:1.3pt;width:0;height:1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" strokecolor="#bc4542 [3045]">
                      <v:stroke endarrow="block"/>
                    </v:shape>
                  </w:pict>
                </mc:Fallback>
              </mc:AlternateContent>
            </w:r>
            <w:r>
              <w:rPr>
                <w:szCs w:val="24"/>
              </w:rPr>
              <w:t>Baa1</w:t>
            </w:r>
          </w:p>
        </w:tc>
        <w:tc>
          <w:tcPr>
            <w:tcW w:w="1800" w:type="dxa"/>
            <w:vAlign w:val="center"/>
          </w:tcPr>
          <w:p w14:paraId="448A34C5" w14:textId="57EF5A34" w:rsidR="002F6F64" w:rsidRPr="000B4B33" w:rsidRDefault="002F6F64" w:rsidP="002F6F64">
            <w:pPr>
              <w:jc w:val="center"/>
              <w:rPr>
                <w:szCs w:val="24"/>
              </w:rPr>
            </w:pPr>
            <w:r w:rsidRPr="000B4B33">
              <w:rPr>
                <w:szCs w:val="24"/>
              </w:rPr>
              <w:t>BBB+</w:t>
            </w:r>
          </w:p>
        </w:tc>
        <w:tc>
          <w:tcPr>
            <w:tcW w:w="1800" w:type="dxa"/>
            <w:vAlign w:val="center"/>
          </w:tcPr>
          <w:p w14:paraId="051743DC" w14:textId="6A87FCC6" w:rsidR="002F6F64" w:rsidRPr="000B4B33" w:rsidRDefault="002F6F64" w:rsidP="002F6F64">
            <w:pPr>
              <w:jc w:val="center"/>
              <w:rPr>
                <w:szCs w:val="24"/>
              </w:rPr>
            </w:pPr>
            <w:r w:rsidRPr="000B4B33">
              <w:rPr>
                <w:noProof/>
                <w:szCs w:val="24"/>
              </w:rPr>
              <mc:AlternateContent>
                <mc:Choice Requires="wps">
                  <w:drawing>
                    <wp:anchor distT="0" distB="0" distL="114300" distR="114300" simplePos="0" relativeHeight="251658241" behindDoc="0" locked="0" layoutInCell="1" allowOverlap="1" wp14:anchorId="7DF91FB4" wp14:editId="59422C2F">
                      <wp:simplePos x="0" y="0"/>
                      <wp:positionH relativeFrom="column">
                        <wp:posOffset>855345</wp:posOffset>
                      </wp:positionH>
                      <wp:positionV relativeFrom="paragraph">
                        <wp:posOffset>17145</wp:posOffset>
                      </wp:positionV>
                      <wp:extent cx="0" cy="137160"/>
                      <wp:effectExtent l="76200" t="0" r="57150" b="53340"/>
                      <wp:wrapNone/>
                      <wp:docPr id="14" name="Straight Arrow Connector 14"/>
                      <wp:cNvGraphicFramePr/>
                      <a:graphic xmlns:a="http://schemas.openxmlformats.org/drawingml/2006/main">
                        <a:graphicData uri="http://schemas.microsoft.com/office/word/2010/wordprocessingShape">
                          <wps:wsp>
                            <wps:cNvCnPr/>
                            <wps:spPr>
                              <a:xfrm>
                                <a:off x="0" y="0"/>
                                <a:ext cx="0" cy="13716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shape w14:anchorId="64BE6A7E" id="Straight Arrow Connector 14" o:spid="_x0000_s1026" type="#_x0000_t32" style="position:absolute;margin-left:67.35pt;margin-top:1.35pt;width:0;height:10.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" strokecolor="#bc4542 [3045]">
                      <v:stroke endarrow="block"/>
                    </v:shape>
                  </w:pict>
                </mc:Fallback>
              </mc:AlternateContent>
            </w:r>
            <w:r w:rsidRPr="000B4B33">
              <w:rPr>
                <w:szCs w:val="24"/>
              </w:rPr>
              <w:t>BBB+</w:t>
            </w:r>
          </w:p>
        </w:tc>
      </w:tr>
      <w:tr w:rsidR="00A7246A" w:rsidRPr="007908ED" w14:paraId="1103DA7B" w14:textId="77777777">
        <w:trPr>
          <w:trHeight w:val="176"/>
        </w:trPr>
        <w:tc>
          <w:tcPr>
            <w:tcW w:w="990" w:type="dxa"/>
            <w:vAlign w:val="center"/>
          </w:tcPr>
          <w:p w14:paraId="6A1ABCDF" w14:textId="77777777" w:rsidR="00A7246A" w:rsidRPr="000B4B33" w:rsidRDefault="00A7246A">
            <w:pPr>
              <w:jc w:val="center"/>
              <w:rPr>
                <w:szCs w:val="24"/>
              </w:rPr>
            </w:pPr>
            <w:r w:rsidRPr="000B4B33">
              <w:rPr>
                <w:szCs w:val="24"/>
              </w:rPr>
              <w:t>Outlook</w:t>
            </w:r>
          </w:p>
        </w:tc>
        <w:tc>
          <w:tcPr>
            <w:tcW w:w="1530" w:type="dxa"/>
            <w:vAlign w:val="center"/>
          </w:tcPr>
          <w:p w14:paraId="1ECCADDA" w14:textId="77777777" w:rsidR="00A7246A" w:rsidRPr="000B4B33" w:rsidRDefault="00A7246A">
            <w:pPr>
              <w:jc w:val="center"/>
              <w:rPr>
                <w:szCs w:val="24"/>
              </w:rPr>
            </w:pPr>
            <w:r>
              <w:rPr>
                <w:szCs w:val="24"/>
              </w:rPr>
              <w:t>C</w:t>
            </w:r>
            <w:r w:rsidRPr="000B4B33">
              <w:rPr>
                <w:szCs w:val="24"/>
              </w:rPr>
              <w:t>urrent</w:t>
            </w:r>
          </w:p>
        </w:tc>
        <w:tc>
          <w:tcPr>
            <w:tcW w:w="1800" w:type="dxa"/>
            <w:tcBorders>
              <w:top w:val="single" w:sz="4" w:space="0" w:color="auto"/>
              <w:left w:val="single" w:sz="4" w:space="0" w:color="auto"/>
              <w:bottom w:val="single" w:sz="4" w:space="0" w:color="auto"/>
              <w:right w:val="single" w:sz="4" w:space="0" w:color="auto"/>
            </w:tcBorders>
            <w:vAlign w:val="center"/>
          </w:tcPr>
          <w:p w14:paraId="2D363AD2" w14:textId="77777777" w:rsidR="00A7246A" w:rsidRDefault="00A7246A">
            <w:pPr>
              <w:jc w:val="center"/>
              <w:rPr>
                <w:szCs w:val="24"/>
              </w:rPr>
            </w:pPr>
            <w:r>
              <w:rPr>
                <w:szCs w:val="24"/>
              </w:rPr>
              <w:t>Stable</w:t>
            </w:r>
          </w:p>
        </w:tc>
        <w:tc>
          <w:tcPr>
            <w:tcW w:w="1800" w:type="dxa"/>
            <w:vAlign w:val="center"/>
          </w:tcPr>
          <w:p w14:paraId="147B4DBA" w14:textId="77777777" w:rsidR="00A7246A" w:rsidRPr="000B4B33" w:rsidRDefault="00A7246A">
            <w:pPr>
              <w:jc w:val="center"/>
              <w:rPr>
                <w:szCs w:val="24"/>
              </w:rPr>
            </w:pPr>
            <w:r w:rsidRPr="000B4B33">
              <w:rPr>
                <w:szCs w:val="24"/>
              </w:rPr>
              <w:t>Stable</w:t>
            </w:r>
          </w:p>
        </w:tc>
        <w:tc>
          <w:tcPr>
            <w:tcW w:w="1800" w:type="dxa"/>
            <w:vAlign w:val="center"/>
          </w:tcPr>
          <w:p w14:paraId="59619E54" w14:textId="77777777" w:rsidR="00A7246A" w:rsidRPr="000B4B33" w:rsidRDefault="00A7246A">
            <w:pPr>
              <w:jc w:val="center"/>
              <w:rPr>
                <w:szCs w:val="24"/>
              </w:rPr>
            </w:pPr>
            <w:r w:rsidRPr="000B4B33">
              <w:rPr>
                <w:szCs w:val="24"/>
              </w:rPr>
              <w:t>Stable</w:t>
            </w:r>
          </w:p>
        </w:tc>
      </w:tr>
    </w:tbl>
    <w:p w14:paraId="1183EBDC" w14:textId="1C9AB132" w:rsidR="00656585" w:rsidRPr="009F0A90" w:rsidRDefault="00E97BDC" w:rsidP="00154813">
      <w:pPr>
        <w:pStyle w:val="CRQuestion"/>
        <w:spacing w:before="240"/>
        <w:rPr>
          <w:b w:val="0"/>
        </w:rPr>
      </w:pPr>
      <w:r w:rsidRPr="009F0A90">
        <w:rPr>
          <w:rFonts w:eastAsia="Calibri"/>
          <w:lang w:val="x-none" w:eastAsia="x-none"/>
        </w:rPr>
        <w:t>Q.</w:t>
      </w:r>
      <w:r w:rsidRPr="009F0A90">
        <w:rPr>
          <w:rFonts w:eastAsia="Calibri"/>
          <w:lang w:val="x-none" w:eastAsia="x-none"/>
        </w:rPr>
        <w:tab/>
      </w:r>
      <w:r>
        <w:rPr>
          <w:b w:val="0"/>
        </w:rPr>
        <w:t xml:space="preserve">WHAT </w:t>
      </w:r>
      <w:r w:rsidR="00B81419">
        <w:rPr>
          <w:b w:val="0"/>
        </w:rPr>
        <w:t>IS</w:t>
      </w:r>
      <w:r w:rsidR="00656585" w:rsidRPr="0076336A">
        <w:rPr>
          <w:b w:val="0"/>
        </w:rPr>
        <w:t xml:space="preserve"> CENTERPOINT HOUSTON</w:t>
      </w:r>
      <w:r w:rsidR="00B81419">
        <w:rPr>
          <w:b w:val="0"/>
        </w:rPr>
        <w:t>’S CURRENT RATING AND HAS IT</w:t>
      </w:r>
      <w:r w:rsidR="00656585" w:rsidRPr="0076336A">
        <w:rPr>
          <w:b w:val="0"/>
        </w:rPr>
        <w:t xml:space="preserve"> ALWAYS HAD THE ISSUER RATINGS IT HAS TODAY?</w:t>
      </w:r>
    </w:p>
    <w:p w14:paraId="0CFC0E26" w14:textId="7A87AADF" w:rsidR="00656585" w:rsidRDefault="00656585" w:rsidP="00384BA8">
      <w:pPr>
        <w:snapToGrid w:val="0"/>
        <w:spacing w:line="480" w:lineRule="auto"/>
        <w:ind w:left="720" w:hanging="720"/>
        <w:jc w:val="both"/>
      </w:pPr>
      <w:r>
        <w:t>A.</w:t>
      </w:r>
      <w:r>
        <w:tab/>
        <w:t xml:space="preserve">As shown in </w:t>
      </w:r>
      <w:r w:rsidR="00D97535">
        <w:t>T</w:t>
      </w:r>
      <w:r>
        <w:t xml:space="preserve">able </w:t>
      </w:r>
      <w:r w:rsidR="005D1CAA">
        <w:t>JRichert</w:t>
      </w:r>
      <w:r w:rsidR="00311A6C">
        <w:t>-</w:t>
      </w:r>
      <w:r>
        <w:t>2 above</w:t>
      </w:r>
      <w:r w:rsidR="00154813">
        <w:t>,</w:t>
      </w:r>
      <w:r>
        <w:t xml:space="preserve"> CenterPoint Houston currently has an issuer rating of Baa1 at Moody’s, BBB+ at S&amp;P, and BBB+ at Fitch.  Its outlook is “Stable” from all three rating agencies. A</w:t>
      </w:r>
      <w:r w:rsidR="00B81419">
        <w:t>lso</w:t>
      </w:r>
      <w:r>
        <w:t xml:space="preserve"> shown in </w:t>
      </w:r>
      <w:r w:rsidR="00D97535">
        <w:t>T</w:t>
      </w:r>
      <w:r>
        <w:t xml:space="preserve">able </w:t>
      </w:r>
      <w:r w:rsidR="005D1CAA">
        <w:t>JRichert</w:t>
      </w:r>
      <w:r w:rsidR="00311A6C">
        <w:t>-</w:t>
      </w:r>
      <w:r>
        <w:t xml:space="preserve">2, CenterPoint Houston’s issuer ratings were higher in 2020 at Moody’s and Fitch.  During or shortly after the conclusion of CenterPoint Houston’s last rate case in Docket No. 49421, Moody’s lowered CenterPoint Houston’s issuer rating from A3 to Baa1 on March 4, 2020, and Fitch lowered the Company’s rating from A- to BBB+ on February 19, 2020.  Both issuer ratings and individual debt ratings were impacted.  </w:t>
      </w:r>
      <w:r w:rsidDel="00F40E24">
        <w:t>In the issuer comment letter from Moody’s following the downgrade, Moody’s noted that credit challenges included “expected final rate order including a lowered ROE and a higher debt capitalization will negatively impact leverage measures”</w:t>
      </w:r>
      <w:r w:rsidR="00631DE0" w:rsidDel="00F40E24">
        <w:t xml:space="preserve"> (Exhibit </w:t>
      </w:r>
      <w:r w:rsidR="004D3B37" w:rsidDel="00F40E24">
        <w:t>JMR</w:t>
      </w:r>
      <w:r w:rsidR="00631DE0" w:rsidDel="00F40E24">
        <w:t>-1</w:t>
      </w:r>
      <w:r w:rsidR="004D3B37" w:rsidDel="00F40E24">
        <w:t>(CONF)</w:t>
      </w:r>
      <w:r w:rsidR="00631DE0" w:rsidDel="00F40E24">
        <w:t>)</w:t>
      </w:r>
      <w:r w:rsidR="00543F41" w:rsidDel="00F40E24">
        <w:t>.</w:t>
      </w:r>
      <w:r w:rsidDel="00F40E24">
        <w:t xml:space="preserve"> </w:t>
      </w:r>
      <w:r w:rsidR="005C15E9" w:rsidDel="00F40E24">
        <w:t xml:space="preserve"> </w:t>
      </w:r>
      <w:r>
        <w:t xml:space="preserve">This </w:t>
      </w:r>
      <w:r w:rsidR="005C15E9">
        <w:t xml:space="preserve">resulting impact </w:t>
      </w:r>
      <w:r>
        <w:t>will be discussed in more detail in later sections of my testimony.</w:t>
      </w:r>
    </w:p>
    <w:p w14:paraId="176AF598" w14:textId="33707DAA" w:rsidR="00E97BDC" w:rsidRPr="009F0A90" w:rsidRDefault="00656585" w:rsidP="007578CB">
      <w:pPr>
        <w:pStyle w:val="CRQuestion"/>
        <w:keepNext/>
        <w:rPr>
          <w:rFonts w:eastAsia="Calibri"/>
          <w:b w:val="0"/>
          <w:lang w:val="x-none" w:eastAsia="x-none"/>
        </w:rPr>
      </w:pPr>
      <w:r>
        <w:lastRenderedPageBreak/>
        <w:t xml:space="preserve">Q. </w:t>
      </w:r>
      <w:r>
        <w:tab/>
      </w:r>
      <w:r w:rsidR="00E97BDC" w:rsidRPr="009F0A90">
        <w:rPr>
          <w:rFonts w:eastAsia="Calibri"/>
          <w:b w:val="0"/>
          <w:lang w:val="x-none" w:eastAsia="x-none"/>
        </w:rPr>
        <w:t>W</w:t>
      </w:r>
      <w:r w:rsidR="00E97BDC" w:rsidRPr="009F0A90">
        <w:rPr>
          <w:rFonts w:eastAsia="Calibri"/>
          <w:b w:val="0"/>
          <w:lang w:eastAsia="x-none"/>
        </w:rPr>
        <w:t xml:space="preserve">HAT ARE THE PRIMARY FINANCIAL RATIOS THAT CREDIT RATING AGENCIES ANALYZE? </w:t>
      </w:r>
    </w:p>
    <w:p w14:paraId="7D5C795E" w14:textId="6BC7AD40" w:rsidR="00E97BDC" w:rsidRDefault="00E97BDC" w:rsidP="007578CB">
      <w:pPr>
        <w:keepNext/>
        <w:spacing w:line="480" w:lineRule="auto"/>
        <w:ind w:left="720" w:hanging="720"/>
        <w:jc w:val="both"/>
        <w:rPr>
          <w:rFonts w:eastAsia="Calibri"/>
          <w:szCs w:val="24"/>
          <w:lang w:eastAsia="x-none"/>
        </w:rPr>
      </w:pPr>
      <w:r w:rsidRPr="009F0A90">
        <w:rPr>
          <w:rFonts w:eastAsia="Calibri"/>
          <w:szCs w:val="24"/>
          <w:lang w:val="x-none" w:eastAsia="x-none"/>
        </w:rPr>
        <w:t>A.</w:t>
      </w:r>
      <w:r w:rsidRPr="009F0A90">
        <w:rPr>
          <w:rFonts w:eastAsia="Calibri"/>
          <w:szCs w:val="24"/>
          <w:lang w:val="x-none" w:eastAsia="x-none"/>
        </w:rPr>
        <w:tab/>
      </w:r>
      <w:r w:rsidRPr="009F0A90">
        <w:rPr>
          <w:rFonts w:eastAsia="Calibri"/>
          <w:szCs w:val="24"/>
          <w:lang w:eastAsia="x-none"/>
        </w:rPr>
        <w:t>T</w:t>
      </w:r>
      <w:r w:rsidRPr="009F0A90">
        <w:rPr>
          <w:rFonts w:eastAsia="Calibri"/>
          <w:szCs w:val="24"/>
          <w:lang w:val="x-none" w:eastAsia="x-none"/>
        </w:rPr>
        <w:t xml:space="preserve">he primary financial metrics evaluated by </w:t>
      </w:r>
      <w:r w:rsidRPr="009F0A90">
        <w:rPr>
          <w:rFonts w:eastAsia="Calibri"/>
          <w:szCs w:val="24"/>
          <w:lang w:eastAsia="x-none"/>
        </w:rPr>
        <w:t>the major</w:t>
      </w:r>
      <w:r w:rsidRPr="009F0A90">
        <w:rPr>
          <w:rFonts w:eastAsia="Calibri"/>
          <w:szCs w:val="24"/>
          <w:lang w:val="x-none" w:eastAsia="x-none"/>
        </w:rPr>
        <w:t xml:space="preserve"> credit rating agencies include some version of the following:</w:t>
      </w:r>
      <w:r w:rsidRPr="009F0A90">
        <w:rPr>
          <w:rFonts w:eastAsia="Calibri"/>
          <w:szCs w:val="24"/>
          <w:lang w:eastAsia="x-none"/>
        </w:rPr>
        <w:t xml:space="preserve"> </w:t>
      </w:r>
      <w:r w:rsidRPr="009F0A90">
        <w:rPr>
          <w:rFonts w:eastAsia="Calibri"/>
          <w:szCs w:val="24"/>
          <w:lang w:val="x-none" w:eastAsia="x-none"/>
        </w:rPr>
        <w:t>(</w:t>
      </w:r>
      <w:r w:rsidR="00154813">
        <w:rPr>
          <w:rFonts w:eastAsia="Calibri"/>
          <w:szCs w:val="24"/>
          <w:lang w:eastAsia="x-none"/>
        </w:rPr>
        <w:t>1</w:t>
      </w:r>
      <w:r w:rsidRPr="009F0A90">
        <w:rPr>
          <w:rFonts w:eastAsia="Calibri"/>
          <w:szCs w:val="24"/>
          <w:lang w:val="x-none" w:eastAsia="x-none"/>
        </w:rPr>
        <w:t xml:space="preserve">) the ratio of funds from operations </w:t>
      </w:r>
      <w:r w:rsidRPr="009F0A90">
        <w:rPr>
          <w:rFonts w:eastAsia="Calibri"/>
          <w:szCs w:val="24"/>
          <w:lang w:eastAsia="x-none"/>
        </w:rPr>
        <w:t xml:space="preserve">or cash from operations </w:t>
      </w:r>
      <w:r w:rsidRPr="009F0A90">
        <w:rPr>
          <w:rFonts w:eastAsia="Calibri"/>
          <w:szCs w:val="24"/>
          <w:lang w:val="x-none" w:eastAsia="x-none"/>
        </w:rPr>
        <w:t xml:space="preserve">to </w:t>
      </w:r>
      <w:r w:rsidRPr="009F0A90">
        <w:rPr>
          <w:rFonts w:eastAsia="Calibri"/>
          <w:szCs w:val="24"/>
          <w:lang w:eastAsia="x-none"/>
        </w:rPr>
        <w:t>debt (“FFO/Debt” or “CFO/Debt”)</w:t>
      </w:r>
      <w:r w:rsidRPr="009F0A90">
        <w:rPr>
          <w:rFonts w:eastAsia="Calibri"/>
          <w:szCs w:val="24"/>
          <w:lang w:val="x-none" w:eastAsia="x-none"/>
        </w:rPr>
        <w:t>; (</w:t>
      </w:r>
      <w:r w:rsidR="00154813">
        <w:rPr>
          <w:rFonts w:eastAsia="Calibri"/>
          <w:szCs w:val="24"/>
          <w:lang w:eastAsia="x-none"/>
        </w:rPr>
        <w:t>2</w:t>
      </w:r>
      <w:r w:rsidRPr="009F0A90">
        <w:rPr>
          <w:rFonts w:eastAsia="Calibri"/>
          <w:szCs w:val="24"/>
          <w:lang w:val="x-none" w:eastAsia="x-none"/>
        </w:rPr>
        <w:t>)</w:t>
      </w:r>
      <w:r w:rsidR="00646741">
        <w:rPr>
          <w:rFonts w:eastAsia="Calibri"/>
          <w:szCs w:val="24"/>
          <w:lang w:eastAsia="x-none"/>
        </w:rPr>
        <w:t> </w:t>
      </w:r>
      <w:r w:rsidRPr="009F0A90">
        <w:rPr>
          <w:rFonts w:eastAsia="Calibri"/>
          <w:szCs w:val="24"/>
          <w:lang w:val="x-none" w:eastAsia="x-none"/>
        </w:rPr>
        <w:t xml:space="preserve">the ratio of funds from operations </w:t>
      </w:r>
      <w:r w:rsidRPr="009F0A90">
        <w:rPr>
          <w:rFonts w:eastAsia="Calibri"/>
          <w:szCs w:val="24"/>
          <w:lang w:eastAsia="x-none"/>
        </w:rPr>
        <w:t xml:space="preserve">or cash from operations </w:t>
      </w:r>
      <w:r w:rsidRPr="009F0A90">
        <w:rPr>
          <w:rFonts w:eastAsia="Calibri"/>
          <w:szCs w:val="24"/>
          <w:lang w:val="x-none" w:eastAsia="x-none"/>
        </w:rPr>
        <w:t xml:space="preserve">to </w:t>
      </w:r>
      <w:r w:rsidRPr="009F0A90">
        <w:rPr>
          <w:rFonts w:eastAsia="Calibri"/>
          <w:szCs w:val="24"/>
          <w:lang w:eastAsia="x-none"/>
        </w:rPr>
        <w:t>interest (“FFO/Interest” or “CFO/Interest”)</w:t>
      </w:r>
      <w:r w:rsidRPr="009F0A90">
        <w:rPr>
          <w:rFonts w:eastAsia="Calibri"/>
          <w:szCs w:val="24"/>
          <w:lang w:val="x-none" w:eastAsia="x-none"/>
        </w:rPr>
        <w:t xml:space="preserve">; </w:t>
      </w:r>
      <w:r w:rsidRPr="009F0A90">
        <w:rPr>
          <w:rFonts w:eastAsia="Calibri"/>
          <w:szCs w:val="24"/>
          <w:lang w:eastAsia="x-none"/>
        </w:rPr>
        <w:t>(</w:t>
      </w:r>
      <w:r w:rsidR="00154813">
        <w:rPr>
          <w:rFonts w:eastAsia="Calibri"/>
          <w:szCs w:val="24"/>
          <w:lang w:eastAsia="x-none"/>
        </w:rPr>
        <w:t>3</w:t>
      </w:r>
      <w:r w:rsidRPr="009F0A90">
        <w:rPr>
          <w:rFonts w:eastAsia="Calibri"/>
          <w:szCs w:val="24"/>
          <w:lang w:eastAsia="x-none"/>
        </w:rPr>
        <w:t>)</w:t>
      </w:r>
      <w:r w:rsidR="00646741">
        <w:rPr>
          <w:rFonts w:eastAsia="Calibri"/>
          <w:szCs w:val="24"/>
          <w:lang w:eastAsia="x-none"/>
        </w:rPr>
        <w:t> </w:t>
      </w:r>
      <w:r w:rsidRPr="009F0A90">
        <w:rPr>
          <w:rFonts w:eastAsia="Calibri"/>
          <w:szCs w:val="24"/>
          <w:lang w:val="x-none" w:eastAsia="x-none"/>
        </w:rPr>
        <w:t xml:space="preserve">the ratio of </w:t>
      </w:r>
      <w:r w:rsidRPr="009F0A90">
        <w:rPr>
          <w:rFonts w:eastAsia="Calibri"/>
          <w:szCs w:val="24"/>
          <w:lang w:eastAsia="x-none"/>
        </w:rPr>
        <w:t>debt to earnings before interest, taxes, depreciation, and amortization (“Debt/EBITDA”)</w:t>
      </w:r>
      <w:r w:rsidR="00181E45">
        <w:rPr>
          <w:rFonts w:eastAsia="Calibri"/>
          <w:szCs w:val="24"/>
          <w:lang w:eastAsia="x-none"/>
        </w:rPr>
        <w:t>,</w:t>
      </w:r>
      <w:r w:rsidR="001F4AE4">
        <w:rPr>
          <w:rFonts w:eastAsia="Calibri"/>
          <w:szCs w:val="24"/>
          <w:lang w:eastAsia="x-none"/>
        </w:rPr>
        <w:t xml:space="preserve"> which is less commonly referenced in the utility industry</w:t>
      </w:r>
      <w:r w:rsidRPr="009F0A90">
        <w:rPr>
          <w:rFonts w:eastAsia="Calibri"/>
          <w:szCs w:val="24"/>
          <w:lang w:val="x-none" w:eastAsia="x-none"/>
        </w:rPr>
        <w:t>;</w:t>
      </w:r>
      <w:r w:rsidRPr="009F0A90">
        <w:rPr>
          <w:rFonts w:eastAsia="Calibri"/>
          <w:szCs w:val="24"/>
          <w:lang w:eastAsia="x-none"/>
        </w:rPr>
        <w:t xml:space="preserve"> and</w:t>
      </w:r>
      <w:r w:rsidR="00646741">
        <w:rPr>
          <w:rFonts w:eastAsia="Calibri"/>
          <w:szCs w:val="24"/>
          <w:lang w:eastAsia="x-none"/>
        </w:rPr>
        <w:t xml:space="preserve"> (</w:t>
      </w:r>
      <w:r w:rsidR="00154813">
        <w:rPr>
          <w:rFonts w:eastAsia="Calibri"/>
          <w:szCs w:val="24"/>
          <w:lang w:eastAsia="x-none"/>
        </w:rPr>
        <w:t>4</w:t>
      </w:r>
      <w:r w:rsidR="00646741">
        <w:rPr>
          <w:rFonts w:eastAsia="Calibri"/>
          <w:szCs w:val="24"/>
          <w:lang w:eastAsia="x-none"/>
        </w:rPr>
        <w:t>) </w:t>
      </w:r>
      <w:r w:rsidRPr="009F0A90">
        <w:rPr>
          <w:rFonts w:eastAsia="Calibri"/>
          <w:szCs w:val="24"/>
          <w:lang w:val="x-none" w:eastAsia="x-none"/>
        </w:rPr>
        <w:t>the</w:t>
      </w:r>
      <w:r w:rsidR="00F5154E">
        <w:rPr>
          <w:rFonts w:eastAsia="Calibri"/>
          <w:szCs w:val="24"/>
          <w:lang w:eastAsia="x-none"/>
        </w:rPr>
        <w:t xml:space="preserve"> </w:t>
      </w:r>
      <w:r w:rsidR="00DC5EBC">
        <w:rPr>
          <w:rFonts w:eastAsia="Calibri"/>
          <w:szCs w:val="24"/>
          <w:lang w:eastAsia="x-none"/>
        </w:rPr>
        <w:t>c</w:t>
      </w:r>
      <w:r w:rsidR="00F5154E">
        <w:rPr>
          <w:rFonts w:eastAsia="Calibri"/>
          <w:szCs w:val="24"/>
          <w:lang w:eastAsia="x-none"/>
        </w:rPr>
        <w:t xml:space="preserve">apital </w:t>
      </w:r>
      <w:r w:rsidR="00DC5EBC">
        <w:rPr>
          <w:rFonts w:eastAsia="Calibri"/>
          <w:szCs w:val="24"/>
          <w:lang w:eastAsia="x-none"/>
        </w:rPr>
        <w:t>s</w:t>
      </w:r>
      <w:r w:rsidR="00F5154E">
        <w:rPr>
          <w:rFonts w:eastAsia="Calibri"/>
          <w:szCs w:val="24"/>
          <w:lang w:eastAsia="x-none"/>
        </w:rPr>
        <w:t>tructure</w:t>
      </w:r>
      <w:r w:rsidRPr="009F0A90">
        <w:rPr>
          <w:rFonts w:eastAsia="Calibri"/>
          <w:szCs w:val="24"/>
          <w:lang w:val="x-none" w:eastAsia="x-none"/>
        </w:rPr>
        <w:t xml:space="preserve"> ratio of total debt to total capital</w:t>
      </w:r>
      <w:r w:rsidRPr="009F0A90">
        <w:rPr>
          <w:rFonts w:eastAsia="Calibri"/>
          <w:szCs w:val="24"/>
          <w:lang w:eastAsia="x-none"/>
        </w:rPr>
        <w:t xml:space="preserve"> (“Total Debt/Total Capital”)</w:t>
      </w:r>
      <w:r w:rsidRPr="009F0A90">
        <w:rPr>
          <w:rFonts w:eastAsia="Calibri"/>
          <w:szCs w:val="24"/>
          <w:lang w:val="x-none" w:eastAsia="x-none"/>
        </w:rPr>
        <w:t xml:space="preserve">. </w:t>
      </w:r>
      <w:r w:rsidRPr="009F0A90">
        <w:rPr>
          <w:rFonts w:eastAsia="Calibri"/>
          <w:szCs w:val="24"/>
          <w:lang w:eastAsia="x-none"/>
        </w:rPr>
        <w:t xml:space="preserve"> </w:t>
      </w:r>
      <w:r w:rsidRPr="009F0A90">
        <w:rPr>
          <w:rFonts w:eastAsia="Calibri"/>
          <w:szCs w:val="24"/>
          <w:lang w:val="x-none" w:eastAsia="x-none"/>
        </w:rPr>
        <w:t>These financial metrics are measure</w:t>
      </w:r>
      <w:r w:rsidR="00AD49AD">
        <w:rPr>
          <w:rFonts w:eastAsia="Calibri"/>
          <w:szCs w:val="24"/>
          <w:lang w:eastAsia="x-none"/>
        </w:rPr>
        <w:t>s</w:t>
      </w:r>
      <w:r w:rsidRPr="009F0A90">
        <w:rPr>
          <w:rFonts w:eastAsia="Calibri"/>
          <w:szCs w:val="24"/>
          <w:lang w:val="x-none" w:eastAsia="x-none"/>
        </w:rPr>
        <w:t xml:space="preserve"> of </w:t>
      </w:r>
      <w:r w:rsidR="001F4AE4">
        <w:rPr>
          <w:rFonts w:eastAsia="Calibri"/>
          <w:szCs w:val="24"/>
          <w:lang w:eastAsia="x-none"/>
        </w:rPr>
        <w:t xml:space="preserve">a </w:t>
      </w:r>
      <w:r w:rsidR="005F39DB">
        <w:rPr>
          <w:rFonts w:eastAsia="Calibri"/>
          <w:szCs w:val="24"/>
          <w:lang w:eastAsia="x-none"/>
        </w:rPr>
        <w:t>c</w:t>
      </w:r>
      <w:r w:rsidR="001F4AE4">
        <w:rPr>
          <w:rFonts w:eastAsia="Calibri"/>
          <w:szCs w:val="24"/>
          <w:lang w:eastAsia="x-none"/>
        </w:rPr>
        <w:t>ompany’s</w:t>
      </w:r>
      <w:r w:rsidRPr="009F0A90">
        <w:rPr>
          <w:rFonts w:eastAsia="Calibri"/>
          <w:szCs w:val="24"/>
          <w:lang w:val="x-none" w:eastAsia="x-none"/>
        </w:rPr>
        <w:t xml:space="preserve"> ability to meet its financial obligations. </w:t>
      </w:r>
      <w:r w:rsidRPr="009F0A90">
        <w:rPr>
          <w:rFonts w:eastAsia="Calibri"/>
          <w:szCs w:val="24"/>
          <w:lang w:eastAsia="x-none"/>
        </w:rPr>
        <w:t xml:space="preserve"> </w:t>
      </w:r>
    </w:p>
    <w:p w14:paraId="19F222DA" w14:textId="77777777" w:rsidR="00F5154E" w:rsidRPr="000C470E" w:rsidRDefault="00F5154E" w:rsidP="00F5154E">
      <w:pPr>
        <w:pStyle w:val="CRQuestion"/>
      </w:pPr>
      <w:r w:rsidRPr="009F0A90">
        <w:t>Q.</w:t>
      </w:r>
      <w:r w:rsidRPr="009F0A90">
        <w:tab/>
      </w:r>
      <w:r w:rsidRPr="000C470E">
        <w:t>What does the phrase “capital structure” mean in the context of utility ratemaking?</w:t>
      </w:r>
    </w:p>
    <w:p w14:paraId="6FC21382" w14:textId="6A75131F" w:rsidR="00546AD5" w:rsidRDefault="00F5154E" w:rsidP="00F5154E">
      <w:pPr>
        <w:pStyle w:val="CRAnswer"/>
      </w:pPr>
      <w:r w:rsidRPr="000C470E">
        <w:t>A.</w:t>
      </w:r>
      <w:r w:rsidRPr="000C470E">
        <w:tab/>
        <w:t xml:space="preserve">“Capital structure” refers to the percentages of debt and equity used to finance the utility’s assets and perform the operations necessary to provide service to customers. </w:t>
      </w:r>
      <w:r w:rsidR="00154813">
        <w:t xml:space="preserve"> </w:t>
      </w:r>
      <w:r w:rsidR="54D3CA71">
        <w:t xml:space="preserve">As noted in the </w:t>
      </w:r>
      <w:r w:rsidR="00D97535">
        <w:t>Direct T</w:t>
      </w:r>
      <w:r w:rsidR="54D3CA71">
        <w:t xml:space="preserve">estimony of Jason </w:t>
      </w:r>
      <w:r w:rsidR="00D97535">
        <w:t xml:space="preserve">M. </w:t>
      </w:r>
      <w:r w:rsidR="54D3CA71">
        <w:t xml:space="preserve">Ryan, the Company’s </w:t>
      </w:r>
      <w:r w:rsidR="00DC46E5">
        <w:t>customer</w:t>
      </w:r>
      <w:r w:rsidR="54D3CA71">
        <w:t xml:space="preserve"> rates do not produce enough revenues each year to fully fund the investments needed </w:t>
      </w:r>
      <w:r w:rsidR="3A073BC8">
        <w:t xml:space="preserve">annually </w:t>
      </w:r>
      <w:r w:rsidR="54D3CA71">
        <w:t>to me</w:t>
      </w:r>
      <w:r w:rsidR="7A77F1AC">
        <w:t xml:space="preserve">et the </w:t>
      </w:r>
      <w:r w:rsidR="009D44FF">
        <w:t xml:space="preserve">capital </w:t>
      </w:r>
      <w:r w:rsidR="7A77F1AC">
        <w:t>requirements of the Company’s customer growth and resiliency needs</w:t>
      </w:r>
      <w:r w:rsidR="00A01AE2">
        <w:t xml:space="preserve">. </w:t>
      </w:r>
      <w:r w:rsidR="00154813">
        <w:t xml:space="preserve"> </w:t>
      </w:r>
      <w:r w:rsidR="008458A3">
        <w:t xml:space="preserve">Since incremental investments require funding </w:t>
      </w:r>
      <w:r w:rsidR="005154C4">
        <w:t>upfront but</w:t>
      </w:r>
      <w:r w:rsidR="0070274C">
        <w:t xml:space="preserve"> revenues are recovered o</w:t>
      </w:r>
      <w:r w:rsidR="00CD1B3D">
        <w:t>ver time o</w:t>
      </w:r>
      <w:r w:rsidR="0070274C">
        <w:t xml:space="preserve">nce </w:t>
      </w:r>
      <w:r w:rsidR="00546AD5">
        <w:t xml:space="preserve">long-term assets are </w:t>
      </w:r>
      <w:r w:rsidR="0070274C">
        <w:t>used and useful, the</w:t>
      </w:r>
      <w:r w:rsidR="00A01AE2">
        <w:t xml:space="preserve"> </w:t>
      </w:r>
      <w:r w:rsidR="0070274C">
        <w:t>C</w:t>
      </w:r>
      <w:r w:rsidR="00A01AE2">
        <w:t xml:space="preserve">ompany </w:t>
      </w:r>
      <w:r w:rsidR="0070274C">
        <w:t>is reliant on</w:t>
      </w:r>
      <w:r w:rsidR="00DC626B">
        <w:t xml:space="preserve"> other funding sources </w:t>
      </w:r>
      <w:r w:rsidR="00CD1B3D">
        <w:t>for</w:t>
      </w:r>
      <w:r w:rsidR="00433844">
        <w:t xml:space="preserve"> such investments.</w:t>
      </w:r>
      <w:r w:rsidR="7A77F1AC">
        <w:t xml:space="preserve"> </w:t>
      </w:r>
      <w:r w:rsidR="00154813">
        <w:t xml:space="preserve"> </w:t>
      </w:r>
      <w:r w:rsidRPr="000C470E">
        <w:t>The primary sources of capital to finance long-term assets of the Company are long-term debt and common equity</w:t>
      </w:r>
      <w:r w:rsidR="00546AD5">
        <w:t xml:space="preserve"> issuances</w:t>
      </w:r>
      <w:r>
        <w:t xml:space="preserve">. </w:t>
      </w:r>
    </w:p>
    <w:p w14:paraId="792FC88D" w14:textId="0B9E8F10" w:rsidR="00F5154E" w:rsidRDefault="00546AD5" w:rsidP="00F5154E">
      <w:pPr>
        <w:pStyle w:val="CRAnswer"/>
      </w:pPr>
      <w:r>
        <w:lastRenderedPageBreak/>
        <w:tab/>
      </w:r>
      <w:r w:rsidR="00D97535">
        <w:tab/>
      </w:r>
      <w:r w:rsidR="00F5154E" w:rsidRPr="000C470E">
        <w:t xml:space="preserve">Capital structure is typically expressed in terms of the ratio of a particular type of capital to total capital. </w:t>
      </w:r>
      <w:r w:rsidR="00154813">
        <w:t xml:space="preserve"> </w:t>
      </w:r>
      <w:r w:rsidR="002A1844">
        <w:t>Fo</w:t>
      </w:r>
      <w:r w:rsidR="00F5154E">
        <w:t>r</w:t>
      </w:r>
      <w:r w:rsidR="00F5154E" w:rsidRPr="000C470E">
        <w:t xml:space="preserve"> example, a utility with a total capitalization of $1 billion, long-term debt of $</w:t>
      </w:r>
      <w:r w:rsidR="00F5154E">
        <w:t>55</w:t>
      </w:r>
      <w:r w:rsidR="00F5154E" w:rsidRPr="000C470E">
        <w:t>0 million, and common equity of $</w:t>
      </w:r>
      <w:r w:rsidR="00F5154E">
        <w:t>45</w:t>
      </w:r>
      <w:r w:rsidR="00F5154E" w:rsidRPr="000C470E">
        <w:t xml:space="preserve">0 million would have a capital structure composed of </w:t>
      </w:r>
      <w:r w:rsidR="00F5154E">
        <w:t>55</w:t>
      </w:r>
      <w:r w:rsidR="00F5154E" w:rsidRPr="000C470E">
        <w:t xml:space="preserve">% long-term debt and </w:t>
      </w:r>
      <w:r w:rsidR="00F5154E">
        <w:t>45</w:t>
      </w:r>
      <w:r w:rsidR="00F5154E" w:rsidRPr="000C470E">
        <w:t>% common equity.</w:t>
      </w:r>
    </w:p>
    <w:p w14:paraId="5FA91158" w14:textId="77777777" w:rsidR="0037055C" w:rsidRPr="0037055C" w:rsidRDefault="0037055C" w:rsidP="00154813">
      <w:pPr>
        <w:pStyle w:val="CRQuestion"/>
        <w:rPr>
          <w:rFonts w:eastAsia="Calibri"/>
          <w:b w:val="0"/>
          <w:lang w:eastAsia="x-none"/>
        </w:rPr>
      </w:pPr>
      <w:r>
        <w:t>Q.</w:t>
      </w:r>
      <w:r>
        <w:tab/>
      </w:r>
      <w:r w:rsidR="00E97BDC">
        <w:rPr>
          <w:rFonts w:eastAsia="Calibri"/>
          <w:b w:val="0"/>
          <w:lang w:eastAsia="x-none"/>
        </w:rPr>
        <w:t>ARE THE RATINGS AND OUTLOOKS ASSIGNED BY THE RATING AGENC</w:t>
      </w:r>
      <w:r w:rsidR="005D5AE8">
        <w:rPr>
          <w:rFonts w:eastAsia="Calibri"/>
          <w:b w:val="0"/>
          <w:lang w:eastAsia="x-none"/>
        </w:rPr>
        <w:t>IES</w:t>
      </w:r>
      <w:r w:rsidR="00E97BDC">
        <w:rPr>
          <w:rFonts w:eastAsia="Calibri"/>
          <w:b w:val="0"/>
          <w:lang w:eastAsia="x-none"/>
        </w:rPr>
        <w:t xml:space="preserve"> BASED SOLELY ON THOSE FINANCIAL RATIOS?</w:t>
      </w:r>
    </w:p>
    <w:p w14:paraId="740B4318" w14:textId="462DF41A" w:rsidR="0037055C" w:rsidRPr="009F0A90" w:rsidRDefault="0037055C" w:rsidP="00154813">
      <w:pPr>
        <w:pStyle w:val="CRAnswer"/>
        <w:rPr>
          <w:snapToGrid w:val="0"/>
        </w:rPr>
      </w:pPr>
      <w:r>
        <w:rPr>
          <w:snapToGrid w:val="0"/>
        </w:rPr>
        <w:t>A.</w:t>
      </w:r>
      <w:r>
        <w:rPr>
          <w:snapToGrid w:val="0"/>
        </w:rPr>
        <w:tab/>
      </w:r>
      <w:r w:rsidR="00E97BDC">
        <w:rPr>
          <w:snapToGrid w:val="0"/>
        </w:rPr>
        <w:t>No.  The ratings are based on a combination of quantitative and qualitative factors that the rating agencies consider important.  For example, Moody’s bases its ratings on the following weighted factors:</w:t>
      </w:r>
    </w:p>
    <w:p w14:paraId="6F19DFA9" w14:textId="08549B33" w:rsidR="0037055C" w:rsidRPr="009F0A90" w:rsidRDefault="0037055C" w:rsidP="0037055C">
      <w:pPr>
        <w:keepNext/>
        <w:suppressLineNumbers/>
        <w:tabs>
          <w:tab w:val="left" w:pos="-1440"/>
        </w:tabs>
        <w:spacing w:after="120"/>
        <w:ind w:left="720" w:hanging="720"/>
        <w:jc w:val="center"/>
        <w:rPr>
          <w:b/>
          <w:bCs/>
          <w:snapToGrid w:val="0"/>
          <w:szCs w:val="24"/>
        </w:rPr>
      </w:pPr>
      <w:r w:rsidRPr="009F0A90">
        <w:rPr>
          <w:b/>
          <w:bCs/>
          <w:snapToGrid w:val="0"/>
          <w:szCs w:val="24"/>
        </w:rPr>
        <w:t xml:space="preserve">Table </w:t>
      </w:r>
      <w:r w:rsidR="002520E1">
        <w:rPr>
          <w:b/>
          <w:bCs/>
          <w:snapToGrid w:val="0"/>
          <w:szCs w:val="24"/>
        </w:rPr>
        <w:t>JRichert</w:t>
      </w:r>
      <w:r w:rsidR="005703E9">
        <w:rPr>
          <w:b/>
          <w:bCs/>
          <w:snapToGrid w:val="0"/>
          <w:szCs w:val="24"/>
        </w:rPr>
        <w:t>-</w:t>
      </w:r>
      <w:r w:rsidR="00DA218B">
        <w:rPr>
          <w:b/>
          <w:bCs/>
          <w:snapToGrid w:val="0"/>
          <w:szCs w:val="24"/>
        </w:rPr>
        <w:t>3</w:t>
      </w:r>
      <w:r w:rsidR="00646741">
        <w:rPr>
          <w:b/>
          <w:bCs/>
          <w:snapToGrid w:val="0"/>
          <w:szCs w:val="24"/>
        </w:rPr>
        <w:t xml:space="preserve">. </w:t>
      </w:r>
      <w:r w:rsidRPr="009F0A90">
        <w:rPr>
          <w:b/>
          <w:bCs/>
          <w:snapToGrid w:val="0"/>
          <w:szCs w:val="24"/>
        </w:rPr>
        <w:t xml:space="preserve"> Key Rating Factors</w:t>
      </w:r>
    </w:p>
    <w:tbl>
      <w:tblPr>
        <w:tblW w:w="792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5400"/>
        <w:gridCol w:w="2520"/>
      </w:tblGrid>
      <w:tr w:rsidR="0037055C" w:rsidRPr="009F0A90" w14:paraId="258302DD" w14:textId="77777777" w:rsidTr="00D949E5">
        <w:trPr>
          <w:trHeight w:val="300"/>
        </w:trPr>
        <w:tc>
          <w:tcPr>
            <w:tcW w:w="54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A63E9F" w14:textId="77777777" w:rsidR="0037055C" w:rsidRPr="009F0A90" w:rsidRDefault="0037055C" w:rsidP="00D20580">
            <w:pPr>
              <w:keepNext/>
              <w:tabs>
                <w:tab w:val="left" w:pos="-1440"/>
              </w:tabs>
              <w:jc w:val="center"/>
              <w:rPr>
                <w:b/>
                <w:bCs/>
                <w:snapToGrid w:val="0"/>
                <w:szCs w:val="24"/>
              </w:rPr>
            </w:pPr>
            <w:r w:rsidRPr="009F0A90">
              <w:rPr>
                <w:b/>
                <w:bCs/>
                <w:snapToGrid w:val="0"/>
                <w:szCs w:val="24"/>
              </w:rPr>
              <w:t>Factor</w:t>
            </w:r>
          </w:p>
        </w:tc>
        <w:tc>
          <w:tcPr>
            <w:tcW w:w="25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BD26B6" w14:textId="77777777" w:rsidR="0037055C" w:rsidRPr="009F0A90" w:rsidRDefault="0037055C" w:rsidP="00D20580">
            <w:pPr>
              <w:keepNext/>
              <w:tabs>
                <w:tab w:val="left" w:pos="-1440"/>
              </w:tabs>
              <w:jc w:val="center"/>
              <w:rPr>
                <w:b/>
                <w:bCs/>
                <w:snapToGrid w:val="0"/>
                <w:szCs w:val="24"/>
              </w:rPr>
            </w:pPr>
            <w:r w:rsidRPr="009F0A90">
              <w:rPr>
                <w:b/>
                <w:bCs/>
                <w:snapToGrid w:val="0"/>
                <w:szCs w:val="24"/>
              </w:rPr>
              <w:t>Weighting</w:t>
            </w:r>
          </w:p>
        </w:tc>
      </w:tr>
      <w:tr w:rsidR="0037055C" w:rsidRPr="009F0A90" w14:paraId="10BDB1F6" w14:textId="77777777" w:rsidTr="00D949E5">
        <w:trPr>
          <w:trHeight w:val="300"/>
        </w:trPr>
        <w:tc>
          <w:tcPr>
            <w:tcW w:w="5400" w:type="dxa"/>
            <w:tcBorders>
              <w:top w:val="single" w:sz="4" w:space="0" w:color="auto"/>
              <w:left w:val="single" w:sz="4" w:space="0" w:color="auto"/>
              <w:bottom w:val="single" w:sz="4" w:space="0" w:color="auto"/>
              <w:right w:val="single" w:sz="4" w:space="0" w:color="auto"/>
            </w:tcBorders>
            <w:hideMark/>
          </w:tcPr>
          <w:p w14:paraId="2E119D98" w14:textId="77777777" w:rsidR="0037055C" w:rsidRPr="009F0A90" w:rsidRDefault="0037055C" w:rsidP="00DE6989">
            <w:pPr>
              <w:keepNext/>
              <w:tabs>
                <w:tab w:val="left" w:pos="-1440"/>
              </w:tabs>
              <w:jc w:val="both"/>
              <w:rPr>
                <w:bCs/>
                <w:snapToGrid w:val="0"/>
                <w:szCs w:val="24"/>
              </w:rPr>
            </w:pPr>
            <w:r w:rsidRPr="009F0A90">
              <w:rPr>
                <w:bCs/>
                <w:snapToGrid w:val="0"/>
                <w:szCs w:val="24"/>
              </w:rPr>
              <w:t>Regulatory Framework</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4D7AABB" w14:textId="77777777" w:rsidR="0037055C" w:rsidRPr="009F0A90" w:rsidRDefault="0037055C" w:rsidP="00DE6989">
            <w:pPr>
              <w:keepNext/>
              <w:tabs>
                <w:tab w:val="left" w:pos="-1440"/>
              </w:tabs>
              <w:jc w:val="center"/>
              <w:rPr>
                <w:bCs/>
                <w:snapToGrid w:val="0"/>
                <w:szCs w:val="24"/>
              </w:rPr>
            </w:pPr>
            <w:r w:rsidRPr="009F0A90">
              <w:rPr>
                <w:bCs/>
                <w:snapToGrid w:val="0"/>
                <w:szCs w:val="24"/>
              </w:rPr>
              <w:t>25%</w:t>
            </w:r>
          </w:p>
        </w:tc>
      </w:tr>
      <w:tr w:rsidR="0037055C" w:rsidRPr="009F0A90" w14:paraId="25202A28" w14:textId="77777777" w:rsidTr="00D949E5">
        <w:trPr>
          <w:trHeight w:val="300"/>
        </w:trPr>
        <w:tc>
          <w:tcPr>
            <w:tcW w:w="5400" w:type="dxa"/>
            <w:tcBorders>
              <w:top w:val="single" w:sz="4" w:space="0" w:color="auto"/>
              <w:left w:val="single" w:sz="4" w:space="0" w:color="auto"/>
              <w:bottom w:val="single" w:sz="4" w:space="0" w:color="auto"/>
              <w:right w:val="single" w:sz="4" w:space="0" w:color="auto"/>
            </w:tcBorders>
            <w:hideMark/>
          </w:tcPr>
          <w:p w14:paraId="5860DEBE" w14:textId="77777777" w:rsidR="0037055C" w:rsidRPr="009F0A90" w:rsidRDefault="0037055C" w:rsidP="00DE6989">
            <w:pPr>
              <w:keepNext/>
              <w:tabs>
                <w:tab w:val="left" w:pos="-1440"/>
              </w:tabs>
              <w:jc w:val="both"/>
              <w:rPr>
                <w:bCs/>
                <w:snapToGrid w:val="0"/>
                <w:szCs w:val="24"/>
              </w:rPr>
            </w:pPr>
            <w:r w:rsidRPr="009F0A90">
              <w:rPr>
                <w:bCs/>
                <w:snapToGrid w:val="0"/>
                <w:szCs w:val="24"/>
              </w:rPr>
              <w:t>Ability to Recover Costs and Earn Returns</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74DF797" w14:textId="77777777" w:rsidR="0037055C" w:rsidRPr="009F0A90" w:rsidRDefault="0037055C" w:rsidP="00DE6989">
            <w:pPr>
              <w:keepNext/>
              <w:tabs>
                <w:tab w:val="left" w:pos="-1440"/>
              </w:tabs>
              <w:jc w:val="center"/>
              <w:rPr>
                <w:bCs/>
                <w:snapToGrid w:val="0"/>
                <w:szCs w:val="24"/>
              </w:rPr>
            </w:pPr>
            <w:r w:rsidRPr="009F0A90">
              <w:rPr>
                <w:bCs/>
                <w:snapToGrid w:val="0"/>
                <w:szCs w:val="24"/>
              </w:rPr>
              <w:t>25%</w:t>
            </w:r>
          </w:p>
        </w:tc>
      </w:tr>
      <w:tr w:rsidR="0037055C" w:rsidRPr="009F0A90" w14:paraId="578F18D9" w14:textId="77777777" w:rsidTr="00D949E5">
        <w:trPr>
          <w:trHeight w:val="300"/>
        </w:trPr>
        <w:tc>
          <w:tcPr>
            <w:tcW w:w="5400" w:type="dxa"/>
            <w:tcBorders>
              <w:top w:val="single" w:sz="4" w:space="0" w:color="auto"/>
              <w:left w:val="single" w:sz="4" w:space="0" w:color="auto"/>
              <w:bottom w:val="single" w:sz="4" w:space="0" w:color="auto"/>
              <w:right w:val="single" w:sz="4" w:space="0" w:color="auto"/>
            </w:tcBorders>
            <w:hideMark/>
          </w:tcPr>
          <w:p w14:paraId="5DFE1340" w14:textId="77777777" w:rsidR="0037055C" w:rsidRPr="009F0A90" w:rsidRDefault="0037055C" w:rsidP="00DE6989">
            <w:pPr>
              <w:keepNext/>
              <w:tabs>
                <w:tab w:val="left" w:pos="-1440"/>
              </w:tabs>
              <w:jc w:val="both"/>
              <w:rPr>
                <w:bCs/>
                <w:snapToGrid w:val="0"/>
                <w:szCs w:val="24"/>
              </w:rPr>
            </w:pPr>
            <w:r w:rsidRPr="009F0A90">
              <w:rPr>
                <w:bCs/>
                <w:snapToGrid w:val="0"/>
                <w:szCs w:val="24"/>
              </w:rPr>
              <w:t>Diversification</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7356C77" w14:textId="77777777" w:rsidR="0037055C" w:rsidRPr="009F0A90" w:rsidRDefault="0037055C" w:rsidP="00DE6989">
            <w:pPr>
              <w:keepNext/>
              <w:tabs>
                <w:tab w:val="left" w:pos="-1440"/>
              </w:tabs>
              <w:jc w:val="center"/>
              <w:rPr>
                <w:bCs/>
                <w:snapToGrid w:val="0"/>
                <w:szCs w:val="24"/>
              </w:rPr>
            </w:pPr>
            <w:r w:rsidRPr="009F0A90">
              <w:rPr>
                <w:bCs/>
                <w:snapToGrid w:val="0"/>
                <w:szCs w:val="24"/>
              </w:rPr>
              <w:t>10%</w:t>
            </w:r>
          </w:p>
        </w:tc>
      </w:tr>
      <w:tr w:rsidR="0037055C" w:rsidRPr="009F0A90" w14:paraId="072422A1" w14:textId="77777777" w:rsidTr="00D949E5">
        <w:trPr>
          <w:trHeight w:val="300"/>
        </w:trPr>
        <w:tc>
          <w:tcPr>
            <w:tcW w:w="5400" w:type="dxa"/>
            <w:tcBorders>
              <w:top w:val="single" w:sz="4" w:space="0" w:color="auto"/>
              <w:left w:val="single" w:sz="4" w:space="0" w:color="auto"/>
              <w:bottom w:val="single" w:sz="4" w:space="0" w:color="auto"/>
              <w:right w:val="single" w:sz="4" w:space="0" w:color="auto"/>
            </w:tcBorders>
            <w:hideMark/>
          </w:tcPr>
          <w:p w14:paraId="27B93458" w14:textId="77777777" w:rsidR="0037055C" w:rsidRPr="009F0A90" w:rsidRDefault="0037055C" w:rsidP="00DE6989">
            <w:pPr>
              <w:keepNext/>
              <w:tabs>
                <w:tab w:val="left" w:pos="-1440"/>
              </w:tabs>
              <w:jc w:val="both"/>
              <w:rPr>
                <w:bCs/>
                <w:snapToGrid w:val="0"/>
                <w:szCs w:val="24"/>
              </w:rPr>
            </w:pPr>
            <w:r w:rsidRPr="009F0A90">
              <w:rPr>
                <w:bCs/>
                <w:snapToGrid w:val="0"/>
                <w:szCs w:val="24"/>
              </w:rPr>
              <w:t>Financial Strength</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719E2F2" w14:textId="77777777" w:rsidR="0037055C" w:rsidRPr="009F0A90" w:rsidRDefault="0037055C" w:rsidP="00DE6989">
            <w:pPr>
              <w:keepNext/>
              <w:tabs>
                <w:tab w:val="left" w:pos="-1440"/>
              </w:tabs>
              <w:jc w:val="center"/>
              <w:rPr>
                <w:bCs/>
                <w:snapToGrid w:val="0"/>
                <w:szCs w:val="24"/>
              </w:rPr>
            </w:pPr>
            <w:r w:rsidRPr="009F0A90">
              <w:rPr>
                <w:bCs/>
                <w:snapToGrid w:val="0"/>
                <w:szCs w:val="24"/>
              </w:rPr>
              <w:t>40%</w:t>
            </w:r>
          </w:p>
        </w:tc>
      </w:tr>
      <w:tr w:rsidR="0037055C" w:rsidRPr="009F0A90" w14:paraId="2373C131" w14:textId="77777777" w:rsidTr="00D949E5">
        <w:trPr>
          <w:trHeight w:val="300"/>
        </w:trPr>
        <w:tc>
          <w:tcPr>
            <w:tcW w:w="5400" w:type="dxa"/>
            <w:tcBorders>
              <w:top w:val="single" w:sz="4" w:space="0" w:color="auto"/>
              <w:left w:val="single" w:sz="4" w:space="0" w:color="auto"/>
              <w:bottom w:val="single" w:sz="4" w:space="0" w:color="auto"/>
              <w:right w:val="single" w:sz="4" w:space="0" w:color="auto"/>
            </w:tcBorders>
            <w:hideMark/>
          </w:tcPr>
          <w:p w14:paraId="10511D42" w14:textId="4D2B6FAB" w:rsidR="0037055C" w:rsidRPr="00D949E5" w:rsidRDefault="0037055C" w:rsidP="00DE6989">
            <w:pPr>
              <w:keepNext/>
              <w:tabs>
                <w:tab w:val="left" w:pos="-1440"/>
              </w:tabs>
              <w:jc w:val="both"/>
              <w:rPr>
                <w:b/>
                <w:snapToGrid w:val="0"/>
                <w:szCs w:val="24"/>
              </w:rPr>
            </w:pPr>
            <w:r w:rsidRPr="00D949E5">
              <w:rPr>
                <w:b/>
                <w:snapToGrid w:val="0"/>
                <w:szCs w:val="24"/>
              </w:rPr>
              <w:t>Total</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2DC2B3F" w14:textId="77777777" w:rsidR="0037055C" w:rsidRPr="009F0A90" w:rsidRDefault="0037055C" w:rsidP="00DE6989">
            <w:pPr>
              <w:keepNext/>
              <w:tabs>
                <w:tab w:val="left" w:pos="-1440"/>
              </w:tabs>
              <w:jc w:val="center"/>
              <w:rPr>
                <w:bCs/>
                <w:snapToGrid w:val="0"/>
                <w:szCs w:val="24"/>
              </w:rPr>
            </w:pPr>
            <w:r w:rsidRPr="009F0A90">
              <w:rPr>
                <w:bCs/>
                <w:snapToGrid w:val="0"/>
                <w:szCs w:val="24"/>
              </w:rPr>
              <w:t>100%</w:t>
            </w:r>
          </w:p>
        </w:tc>
      </w:tr>
    </w:tbl>
    <w:p w14:paraId="2AC73C36" w14:textId="552945EC" w:rsidR="0037055C" w:rsidRPr="00BB5860" w:rsidRDefault="0037055C" w:rsidP="007B79FF">
      <w:pPr>
        <w:tabs>
          <w:tab w:val="left" w:pos="-1440"/>
        </w:tabs>
        <w:spacing w:before="240" w:line="480" w:lineRule="auto"/>
        <w:ind w:left="720" w:hanging="360"/>
        <w:jc w:val="both"/>
        <w:rPr>
          <w:szCs w:val="24"/>
          <w:lang w:eastAsia="x-none"/>
        </w:rPr>
      </w:pPr>
      <w:r w:rsidRPr="009F0A90">
        <w:rPr>
          <w:bCs/>
          <w:snapToGrid w:val="0"/>
          <w:szCs w:val="24"/>
        </w:rPr>
        <w:tab/>
      </w:r>
      <w:r w:rsidR="00E97BDC">
        <w:rPr>
          <w:bCs/>
          <w:snapToGrid w:val="0"/>
          <w:szCs w:val="24"/>
        </w:rPr>
        <w:t xml:space="preserve">As this table shows, the consistency and predictability of the regulatory framework and the utility’s ability to recover its costs timely are collectively </w:t>
      </w:r>
      <w:r w:rsidR="002B1A1A">
        <w:rPr>
          <w:bCs/>
          <w:snapToGrid w:val="0"/>
          <w:szCs w:val="24"/>
        </w:rPr>
        <w:t>weighted more heavily</w:t>
      </w:r>
      <w:r w:rsidR="00E97BDC">
        <w:rPr>
          <w:bCs/>
          <w:snapToGrid w:val="0"/>
          <w:szCs w:val="24"/>
        </w:rPr>
        <w:t xml:space="preserve"> than the financial ratios when establishing issuer ratings.</w:t>
      </w:r>
      <w:r w:rsidR="005D5AE8">
        <w:rPr>
          <w:bCs/>
          <w:snapToGrid w:val="0"/>
          <w:szCs w:val="24"/>
        </w:rPr>
        <w:t xml:space="preserve">  Thus, there is an inherent measure of subjectivity in the ratings.</w:t>
      </w:r>
      <w:r w:rsidR="000A15FD">
        <w:rPr>
          <w:bCs/>
          <w:snapToGrid w:val="0"/>
          <w:szCs w:val="24"/>
        </w:rPr>
        <w:t xml:space="preserve"> </w:t>
      </w:r>
      <w:r w:rsidR="004D3B37">
        <w:rPr>
          <w:bCs/>
          <w:snapToGrid w:val="0"/>
          <w:szCs w:val="24"/>
        </w:rPr>
        <w:t xml:space="preserve"> </w:t>
      </w:r>
      <w:r w:rsidR="00380C9D">
        <w:rPr>
          <w:bCs/>
          <w:snapToGrid w:val="0"/>
          <w:szCs w:val="24"/>
        </w:rPr>
        <w:t xml:space="preserve">Please refer to </w:t>
      </w:r>
      <w:r w:rsidR="004D3B37">
        <w:rPr>
          <w:bCs/>
          <w:snapToGrid w:val="0"/>
          <w:szCs w:val="24"/>
        </w:rPr>
        <w:t xml:space="preserve">Exhibit </w:t>
      </w:r>
      <w:r w:rsidR="002520E1">
        <w:rPr>
          <w:bCs/>
          <w:snapToGrid w:val="0"/>
          <w:szCs w:val="24"/>
        </w:rPr>
        <w:t>JRichert</w:t>
      </w:r>
      <w:r w:rsidR="004D3B37">
        <w:rPr>
          <w:bCs/>
          <w:snapToGrid w:val="0"/>
          <w:szCs w:val="24"/>
        </w:rPr>
        <w:t xml:space="preserve">-2 </w:t>
      </w:r>
      <w:r w:rsidR="00380C9D">
        <w:rPr>
          <w:bCs/>
          <w:snapToGrid w:val="0"/>
          <w:szCs w:val="24"/>
        </w:rPr>
        <w:t xml:space="preserve">for a </w:t>
      </w:r>
      <w:r w:rsidR="000A15FD">
        <w:rPr>
          <w:bCs/>
          <w:snapToGrid w:val="0"/>
          <w:szCs w:val="24"/>
        </w:rPr>
        <w:t>Moody’s report on its rating methodology for regulated electric and gas utilities.</w:t>
      </w:r>
    </w:p>
    <w:p w14:paraId="385D9B11" w14:textId="0851BE07" w:rsidR="002120C4" w:rsidRPr="009F0A90" w:rsidRDefault="7D37CEAC" w:rsidP="007578CB">
      <w:pPr>
        <w:pStyle w:val="CRQuestion"/>
        <w:keepNext/>
        <w:rPr>
          <w:b w:val="0"/>
          <w:lang w:eastAsia="x-none"/>
        </w:rPr>
      </w:pPr>
      <w:r w:rsidRPr="759B10F2">
        <w:lastRenderedPageBreak/>
        <w:t>Q.</w:t>
      </w:r>
      <w:r w:rsidR="002120C4">
        <w:tab/>
      </w:r>
      <w:r w:rsidRPr="759B10F2">
        <w:rPr>
          <w:b w:val="0"/>
        </w:rPr>
        <w:t xml:space="preserve">HOW DOES </w:t>
      </w:r>
      <w:r w:rsidR="00F53B2B">
        <w:rPr>
          <w:b w:val="0"/>
        </w:rPr>
        <w:t>A</w:t>
      </w:r>
      <w:r w:rsidRPr="759B10F2">
        <w:rPr>
          <w:b w:val="0"/>
        </w:rPr>
        <w:t xml:space="preserve"> UTILITY’S ISSUER RATING AFFECT ITS COST OF</w:t>
      </w:r>
      <w:r w:rsidR="368E5AA0" w:rsidRPr="759B10F2">
        <w:rPr>
          <w:b w:val="0"/>
        </w:rPr>
        <w:t xml:space="preserve"> AND ACCESS TO</w:t>
      </w:r>
      <w:r w:rsidRPr="759B10F2">
        <w:rPr>
          <w:b w:val="0"/>
        </w:rPr>
        <w:t xml:space="preserve"> DEBT</w:t>
      </w:r>
      <w:r w:rsidR="66A51F4B" w:rsidRPr="759B10F2">
        <w:rPr>
          <w:b w:val="0"/>
        </w:rPr>
        <w:t xml:space="preserve"> MARKETS</w:t>
      </w:r>
      <w:r w:rsidRPr="759B10F2">
        <w:rPr>
          <w:b w:val="0"/>
        </w:rPr>
        <w:t xml:space="preserve">? </w:t>
      </w:r>
    </w:p>
    <w:p w14:paraId="7A129E88" w14:textId="3CDB649D" w:rsidR="002120C4" w:rsidRPr="009E48FA" w:rsidRDefault="002120C4" w:rsidP="007578CB">
      <w:pPr>
        <w:pStyle w:val="CRAnswer"/>
        <w:keepNext/>
      </w:pPr>
      <w:r w:rsidRPr="009F0A90">
        <w:t>A.</w:t>
      </w:r>
      <w:r w:rsidRPr="009F0A90">
        <w:tab/>
        <w:t xml:space="preserve">When a </w:t>
      </w:r>
      <w:r>
        <w:t>utility</w:t>
      </w:r>
      <w:r w:rsidRPr="009F0A90">
        <w:t xml:space="preserve"> issues bonds, the interest rate is </w:t>
      </w:r>
      <w:r>
        <w:t xml:space="preserve">generally </w:t>
      </w:r>
      <w:r w:rsidRPr="009F0A90">
        <w:t xml:space="preserve">based on </w:t>
      </w:r>
      <w:r w:rsidR="00335FE9">
        <w:t xml:space="preserve">a </w:t>
      </w:r>
      <w:r w:rsidR="00466E2F">
        <w:t xml:space="preserve">credit spread </w:t>
      </w:r>
      <w:r w:rsidR="00335FE9">
        <w:t>that</w:t>
      </w:r>
      <w:r w:rsidR="00466E2F">
        <w:t xml:space="preserve"> is added </w:t>
      </w:r>
      <w:r w:rsidRPr="009F0A90">
        <w:t xml:space="preserve">to the </w:t>
      </w:r>
      <w:r w:rsidR="00466E2F">
        <w:t xml:space="preserve">reference </w:t>
      </w:r>
      <w:r w:rsidRPr="009F0A90">
        <w:t xml:space="preserve">benchmark United States Treasury bond </w:t>
      </w:r>
      <w:r w:rsidR="00466E2F">
        <w:t xml:space="preserve">yield </w:t>
      </w:r>
      <w:r w:rsidRPr="009F0A90">
        <w:t xml:space="preserve">having a similar maturity </w:t>
      </w:r>
      <w:r w:rsidR="00466E2F">
        <w:t>as</w:t>
      </w:r>
      <w:r w:rsidR="00466E2F" w:rsidRPr="009F0A90">
        <w:t xml:space="preserve"> </w:t>
      </w:r>
      <w:r w:rsidRPr="009F0A90">
        <w:t>the new bond that the company is issuing</w:t>
      </w:r>
      <w:r w:rsidR="00AD49AD">
        <w:t xml:space="preserve"> (</w:t>
      </w:r>
      <w:r w:rsidR="00466E2F" w:rsidRPr="00D97535">
        <w:rPr>
          <w:i/>
          <w:iCs/>
        </w:rPr>
        <w:t>i.e.</w:t>
      </w:r>
      <w:r w:rsidR="00507E89">
        <w:t>,</w:t>
      </w:r>
      <w:r w:rsidR="00466E2F">
        <w:t xml:space="preserve"> New Issue Spread + </w:t>
      </w:r>
      <w:r w:rsidR="00AD49AD">
        <w:t xml:space="preserve">Treasury Yield = Resulting </w:t>
      </w:r>
      <w:r w:rsidR="00466E2F">
        <w:t>Bond</w:t>
      </w:r>
      <w:r w:rsidR="00AD49AD">
        <w:t xml:space="preserve"> Coupo</w:t>
      </w:r>
      <w:r w:rsidR="00AD214B">
        <w:t>n, or Yield</w:t>
      </w:r>
      <w:r w:rsidR="00AD49AD">
        <w:t>).</w:t>
      </w:r>
      <w:r w:rsidRPr="009F0A90">
        <w:t xml:space="preserve">  Companies with lower credit ratings </w:t>
      </w:r>
      <w:r w:rsidR="005D5AE8">
        <w:t>typically</w:t>
      </w:r>
      <w:r w:rsidRPr="009F0A90">
        <w:t xml:space="preserve"> face </w:t>
      </w:r>
      <w:r w:rsidR="00466E2F">
        <w:t xml:space="preserve">wider </w:t>
      </w:r>
      <w:r w:rsidRPr="009F0A90">
        <w:t xml:space="preserve">credit spreads and a resulting higher debt coupon because they are deemed </w:t>
      </w:r>
      <w:r w:rsidR="00AD49AD">
        <w:t>riskier</w:t>
      </w:r>
      <w:r w:rsidRPr="009F0A90">
        <w:t xml:space="preserve"> than companies with higher credit ratings.  </w:t>
      </w:r>
      <w:r w:rsidR="00466E2F">
        <w:t xml:space="preserve">Additionally, those </w:t>
      </w:r>
      <w:r w:rsidR="00B92FE1" w:rsidRPr="009F0A90">
        <w:t>companies</w:t>
      </w:r>
      <w:r w:rsidRPr="009F0A90">
        <w:t xml:space="preserve"> with lower credit ratings may also find it more difficult to access capital</w:t>
      </w:r>
      <w:r w:rsidR="00AD49AD">
        <w:t xml:space="preserve"> in times of </w:t>
      </w:r>
      <w:r w:rsidR="00466E2F">
        <w:t xml:space="preserve">market </w:t>
      </w:r>
      <w:r w:rsidR="00AD49AD">
        <w:t>volatility, as experienced during the C</w:t>
      </w:r>
      <w:r w:rsidR="00181EE6">
        <w:t>OVID-19</w:t>
      </w:r>
      <w:r w:rsidR="00466E2F">
        <w:t xml:space="preserve"> pandemic</w:t>
      </w:r>
      <w:r w:rsidR="00AD49AD">
        <w:t xml:space="preserve"> in 2020 and </w:t>
      </w:r>
      <w:r w:rsidR="007A2B1B">
        <w:t>b</w:t>
      </w:r>
      <w:r w:rsidR="00AD49AD">
        <w:t xml:space="preserve">ank </w:t>
      </w:r>
      <w:r w:rsidR="007A2B1B">
        <w:t>m</w:t>
      </w:r>
      <w:r w:rsidR="00AD49AD">
        <w:t xml:space="preserve">arket stress </w:t>
      </w:r>
      <w:r w:rsidR="007A2B1B">
        <w:t>in</w:t>
      </w:r>
      <w:r w:rsidR="00AD49AD">
        <w:t xml:space="preserve"> 2023</w:t>
      </w:r>
      <w:r w:rsidR="00180097">
        <w:t>, t</w:t>
      </w:r>
      <w:r w:rsidR="007A2B1B">
        <w:t>he latter of which impacted a</w:t>
      </w:r>
      <w:r w:rsidR="00466E2F">
        <w:rPr>
          <w:rFonts w:eastAsia="Calibri"/>
        </w:rPr>
        <w:t xml:space="preserve"> </w:t>
      </w:r>
      <w:r w:rsidR="007A2B1B">
        <w:rPr>
          <w:rFonts w:eastAsia="Calibri"/>
        </w:rPr>
        <w:t xml:space="preserve">CenterPoint Houston </w:t>
      </w:r>
      <w:r w:rsidR="00466E2F">
        <w:rPr>
          <w:rFonts w:eastAsia="Calibri"/>
        </w:rPr>
        <w:t xml:space="preserve">bond </w:t>
      </w:r>
      <w:r w:rsidR="007A2B1B">
        <w:rPr>
          <w:rFonts w:eastAsia="Calibri"/>
        </w:rPr>
        <w:t>issuance</w:t>
      </w:r>
      <w:r w:rsidR="00466E2F">
        <w:rPr>
          <w:rFonts w:eastAsia="Calibri"/>
        </w:rPr>
        <w:t xml:space="preserve"> in March 2023</w:t>
      </w:r>
      <w:r w:rsidR="007A2B1B">
        <w:rPr>
          <w:rFonts w:eastAsia="Calibri"/>
        </w:rPr>
        <w:t xml:space="preserve">. </w:t>
      </w:r>
    </w:p>
    <w:p w14:paraId="5095E4AC" w14:textId="3D6CF586" w:rsidR="00BD5072" w:rsidRDefault="00BD5072" w:rsidP="00154813">
      <w:pPr>
        <w:pStyle w:val="CRQuestion"/>
        <w:rPr>
          <w:b w:val="0"/>
          <w:lang w:eastAsia="x-none"/>
        </w:rPr>
      </w:pPr>
      <w:r>
        <w:t xml:space="preserve">Q. </w:t>
      </w:r>
      <w:r>
        <w:tab/>
        <w:t>CAN YOU PROVIDE A SPECIFIC EXAMPLE OF HOW ACCESS TO CAPITAL VARIES RELATIVE TO CREDIT RATINGS?</w:t>
      </w:r>
    </w:p>
    <w:p w14:paraId="50A5B7DB" w14:textId="0A9EAB4E" w:rsidR="006E451D" w:rsidRPr="00154813" w:rsidRDefault="009F5425" w:rsidP="00154813">
      <w:pPr>
        <w:pStyle w:val="CRAnswer"/>
      </w:pPr>
      <w:r w:rsidRPr="00154813">
        <w:t>A.</w:t>
      </w:r>
      <w:r w:rsidRPr="00154813">
        <w:tab/>
        <w:t xml:space="preserve">Yes. </w:t>
      </w:r>
      <w:r w:rsidR="00B221BD" w:rsidRPr="00154813">
        <w:t xml:space="preserve"> </w:t>
      </w:r>
      <w:r w:rsidR="00BD5072" w:rsidRPr="00154813">
        <w:t xml:space="preserve">As an example, in March 2023, there were six days with zero new debt issuances due to market stress related to the collapse of multiple </w:t>
      </w:r>
      <w:r w:rsidR="00F96958" w:rsidRPr="00154813">
        <w:t xml:space="preserve">small to mid-size </w:t>
      </w:r>
      <w:r w:rsidR="00BD5072" w:rsidRPr="00154813">
        <w:t>banks</w:t>
      </w:r>
      <w:r w:rsidR="00CC275B" w:rsidRPr="00154813">
        <w:t xml:space="preserve">, which </w:t>
      </w:r>
      <w:r w:rsidR="00201448" w:rsidRPr="00154813">
        <w:t xml:space="preserve">meant </w:t>
      </w:r>
      <w:r w:rsidR="00CC275B" w:rsidRPr="00154813">
        <w:t>the market was closed for issuers to raise funds from investors</w:t>
      </w:r>
      <w:r w:rsidR="00BD5072" w:rsidRPr="00154813">
        <w:t xml:space="preserve">. </w:t>
      </w:r>
      <w:r w:rsidR="00B221BD" w:rsidRPr="00154813">
        <w:t xml:space="preserve"> </w:t>
      </w:r>
      <w:r w:rsidR="00BD5072" w:rsidRPr="00154813">
        <w:t xml:space="preserve">During that window, CenterPoint </w:t>
      </w:r>
      <w:r w:rsidR="00CC087C" w:rsidRPr="00154813">
        <w:t>H</w:t>
      </w:r>
      <w:r w:rsidR="00BD5072" w:rsidRPr="00154813">
        <w:t>ouston had to delay a bond issuance over multiple days due to the volatile economic backdrop and banking sector uncertainty</w:t>
      </w:r>
      <w:r w:rsidR="00CC275B" w:rsidRPr="00154813">
        <w:t xml:space="preserve">. </w:t>
      </w:r>
      <w:r w:rsidR="003C50AC" w:rsidRPr="00154813">
        <w:t xml:space="preserve">When the </w:t>
      </w:r>
      <w:r w:rsidR="001822DA" w:rsidRPr="00154813">
        <w:t xml:space="preserve">Company is unable to access the capital markets, it is reliant upon </w:t>
      </w:r>
      <w:r w:rsidR="00E5440B" w:rsidRPr="00154813">
        <w:t>capital</w:t>
      </w:r>
      <w:r w:rsidR="00CC275B" w:rsidRPr="00154813" w:rsidDel="004E2A10">
        <w:t xml:space="preserve"> </w:t>
      </w:r>
      <w:r w:rsidR="00E5440B" w:rsidRPr="00154813">
        <w:t>provided by</w:t>
      </w:r>
      <w:r w:rsidR="001C0E39" w:rsidRPr="00154813">
        <w:t xml:space="preserve"> </w:t>
      </w:r>
      <w:r w:rsidR="00F25B79" w:rsidRPr="00154813">
        <w:t>the parent company</w:t>
      </w:r>
      <w:r w:rsidR="00C23D7E" w:rsidRPr="00154813">
        <w:t xml:space="preserve">, </w:t>
      </w:r>
      <w:r w:rsidR="00217ACE" w:rsidRPr="00154813">
        <w:t>CNP</w:t>
      </w:r>
      <w:r w:rsidR="00C23D7E" w:rsidRPr="00154813">
        <w:t>.</w:t>
      </w:r>
      <w:r w:rsidR="00BD5072" w:rsidRPr="00154813">
        <w:t xml:space="preserve">  </w:t>
      </w:r>
      <w:r w:rsidR="00217ACE" w:rsidRPr="00154813">
        <w:t xml:space="preserve">This capital can be in the form of equity capital contributions or intercompany borrowings via the CNP money pool.  During this period in March,  CenterPoint Houston relied on the parent for </w:t>
      </w:r>
      <w:r w:rsidR="00217ACE" w:rsidRPr="00154813">
        <w:lastRenderedPageBreak/>
        <w:t xml:space="preserve">financing ongoing capital investments; CNP borrowed a term loan to ensure capital and liquidity was available for </w:t>
      </w:r>
      <w:r w:rsidR="00A0313F" w:rsidRPr="00154813">
        <w:t>CenterPoint Houston</w:t>
      </w:r>
      <w:r w:rsidR="00217ACE" w:rsidRPr="00154813">
        <w:t>.</w:t>
      </w:r>
      <w:r w:rsidR="00BD5072" w:rsidRPr="00154813">
        <w:t xml:space="preserve"> Ultimately, the Company was able to successfully issue its bond by delaying its launch</w:t>
      </w:r>
      <w:r w:rsidR="00897F9E" w:rsidRPr="00154813">
        <w:t xml:space="preserve"> until th</w:t>
      </w:r>
      <w:r w:rsidR="005E11C7" w:rsidRPr="00154813">
        <w:t>e si</w:t>
      </w:r>
      <w:r w:rsidR="001D5A50" w:rsidRPr="00154813">
        <w:t>xth day following the turmoil</w:t>
      </w:r>
      <w:r w:rsidR="00BD5072" w:rsidRPr="00154813">
        <w:t xml:space="preserve">. </w:t>
      </w:r>
      <w:r w:rsidR="00D41E3F" w:rsidRPr="00154813">
        <w:t xml:space="preserve"> </w:t>
      </w:r>
      <w:r w:rsidR="00BD5072" w:rsidRPr="00154813">
        <w:t xml:space="preserve">Only one other </w:t>
      </w:r>
      <w:r w:rsidR="00CC275B" w:rsidRPr="00154813">
        <w:t>A-</w:t>
      </w:r>
      <w:r w:rsidR="00BD5072" w:rsidRPr="00154813">
        <w:t xml:space="preserve">rated utility also issued debt </w:t>
      </w:r>
      <w:r w:rsidR="00CC275B" w:rsidRPr="00154813">
        <w:t xml:space="preserve">on the </w:t>
      </w:r>
      <w:r w:rsidR="00512A12" w:rsidRPr="00154813">
        <w:t>same day as</w:t>
      </w:r>
      <w:r w:rsidR="00CC275B" w:rsidRPr="00154813">
        <w:t xml:space="preserve"> CenterPoint Houston. </w:t>
      </w:r>
      <w:r w:rsidR="00D41E3F" w:rsidRPr="00154813">
        <w:t xml:space="preserve"> </w:t>
      </w:r>
      <w:r w:rsidR="00CC275B" w:rsidRPr="00154813">
        <w:t>N</w:t>
      </w:r>
      <w:r w:rsidR="00BD5072" w:rsidRPr="00154813">
        <w:t>o high</w:t>
      </w:r>
      <w:r w:rsidR="00F75497" w:rsidRPr="00154813">
        <w:t>-</w:t>
      </w:r>
      <w:r w:rsidR="00BD5072" w:rsidRPr="00154813">
        <w:t xml:space="preserve">yield </w:t>
      </w:r>
      <w:r w:rsidR="006065F8" w:rsidRPr="00154813">
        <w:t>bond issuers</w:t>
      </w:r>
      <w:r w:rsidR="00BD5072" w:rsidRPr="00154813">
        <w:t xml:space="preserve"> were able to access the market </w:t>
      </w:r>
      <w:r w:rsidR="00CC275B" w:rsidRPr="00154813">
        <w:t>on that day</w:t>
      </w:r>
      <w:r w:rsidR="00CE6D3F" w:rsidRPr="00154813">
        <w:t>.</w:t>
      </w:r>
      <w:r w:rsidR="00CC275B" w:rsidRPr="00154813">
        <w:t xml:space="preserve"> </w:t>
      </w:r>
      <w:r w:rsidR="00CE6D3F" w:rsidRPr="00154813">
        <w:t>They</w:t>
      </w:r>
      <w:r w:rsidR="00CC275B" w:rsidRPr="00154813">
        <w:t xml:space="preserve"> </w:t>
      </w:r>
      <w:r w:rsidR="00AC4FC1" w:rsidRPr="00154813">
        <w:t>had to</w:t>
      </w:r>
      <w:r w:rsidR="00CC275B" w:rsidRPr="00154813">
        <w:t xml:space="preserve"> </w:t>
      </w:r>
      <w:r w:rsidR="00AC4FC1" w:rsidRPr="00154813">
        <w:t>continue to</w:t>
      </w:r>
      <w:r w:rsidR="00CC275B" w:rsidRPr="00154813">
        <w:t xml:space="preserve"> delay </w:t>
      </w:r>
      <w:r w:rsidR="00AC4FC1" w:rsidRPr="00154813">
        <w:t>issuances</w:t>
      </w:r>
      <w:r w:rsidR="00CC275B" w:rsidRPr="00154813">
        <w:t xml:space="preserve"> until the market stabilized further</w:t>
      </w:r>
      <w:r w:rsidR="00BD5072" w:rsidRPr="00154813">
        <w:t>.</w:t>
      </w:r>
    </w:p>
    <w:p w14:paraId="4F020DD5" w14:textId="157F0D6B" w:rsidR="00BD5072" w:rsidRDefault="00BD5072" w:rsidP="00154813">
      <w:pPr>
        <w:pStyle w:val="CRQuestion"/>
        <w:rPr>
          <w:b w:val="0"/>
          <w:lang w:eastAsia="x-none"/>
        </w:rPr>
      </w:pPr>
      <w:r w:rsidRPr="009F0A90">
        <w:rPr>
          <w:lang w:val="x-none"/>
        </w:rPr>
        <w:t>Q.</w:t>
      </w:r>
      <w:r w:rsidRPr="009F0A90">
        <w:rPr>
          <w:lang w:val="x-none"/>
        </w:rPr>
        <w:tab/>
      </w:r>
      <w:r w:rsidR="001A27BF">
        <w:t xml:space="preserve">PLEASE </w:t>
      </w:r>
      <w:r>
        <w:t xml:space="preserve">PROVIDE </w:t>
      </w:r>
      <w:r w:rsidR="00D2264D">
        <w:t>A</w:t>
      </w:r>
      <w:r>
        <w:t xml:space="preserve"> SPECIFIC EXAMPLE OF HOW THE CREDIT SPREAD VARIES</w:t>
      </w:r>
      <w:r w:rsidR="00466E2F">
        <w:t xml:space="preserve"> RELATED TO CREDIT RATING</w:t>
      </w:r>
      <w:r w:rsidR="009046E5">
        <w:t>.</w:t>
      </w:r>
    </w:p>
    <w:p w14:paraId="15D68E73" w14:textId="2E8DB98C" w:rsidR="007A571A" w:rsidRPr="00154813" w:rsidRDefault="646F9DE7" w:rsidP="00154813">
      <w:pPr>
        <w:pStyle w:val="CRAnswer"/>
      </w:pPr>
      <w:r w:rsidRPr="00154813">
        <w:t>A.</w:t>
      </w:r>
      <w:r w:rsidRPr="00154813">
        <w:tab/>
      </w:r>
      <w:r w:rsidR="00D2264D" w:rsidRPr="00154813">
        <w:t>Using the</w:t>
      </w:r>
      <w:r w:rsidR="51F1A891" w:rsidRPr="00154813" w:rsidDel="00D2264D">
        <w:t xml:space="preserve"> </w:t>
      </w:r>
      <w:r w:rsidR="51F1A891" w:rsidRPr="00154813">
        <w:t>March 2023</w:t>
      </w:r>
      <w:r w:rsidR="00C27090" w:rsidRPr="00154813">
        <w:t xml:space="preserve"> bond issuance</w:t>
      </w:r>
      <w:r w:rsidR="00D2264D" w:rsidRPr="00154813">
        <w:t xml:space="preserve"> as an example</w:t>
      </w:r>
      <w:r w:rsidR="2AEEC798" w:rsidRPr="00154813">
        <w:t>,</w:t>
      </w:r>
      <w:r w:rsidR="51F1A891" w:rsidRPr="00154813">
        <w:t xml:space="preserve"> CenterPoint Houston issued $600 million of </w:t>
      </w:r>
      <w:r w:rsidRPr="00154813" w:rsidDel="51F1A891">
        <w:t>10</w:t>
      </w:r>
      <w:r w:rsidR="21466E40" w:rsidRPr="00154813">
        <w:t>-year</w:t>
      </w:r>
      <w:r w:rsidR="51F1A891" w:rsidRPr="00154813">
        <w:t xml:space="preserve"> bonds </w:t>
      </w:r>
      <w:r w:rsidR="6B4239E0" w:rsidRPr="00154813">
        <w:t xml:space="preserve">at a new issue spread that was 0.28% </w:t>
      </w:r>
      <w:r w:rsidR="597E7C45" w:rsidRPr="00154813">
        <w:t>less</w:t>
      </w:r>
      <w:r w:rsidR="6B4239E0" w:rsidRPr="00154813">
        <w:t xml:space="preserve"> favorable (or “</w:t>
      </w:r>
      <w:r w:rsidR="28BAF3D8" w:rsidRPr="00154813">
        <w:t>wider</w:t>
      </w:r>
      <w:r w:rsidR="6B4239E0" w:rsidRPr="00154813">
        <w:t xml:space="preserve">”) than </w:t>
      </w:r>
      <w:r w:rsidR="00176A6E" w:rsidRPr="00154813">
        <w:t xml:space="preserve">Public Service </w:t>
      </w:r>
      <w:r w:rsidR="007E233A" w:rsidRPr="00154813">
        <w:t>Electric &amp; Gas Co</w:t>
      </w:r>
      <w:r w:rsidR="00E47D57" w:rsidRPr="00154813">
        <w:t>.</w:t>
      </w:r>
      <w:r w:rsidR="4095E1DB" w:rsidRPr="00154813">
        <w:t>’s secured bond</w:t>
      </w:r>
      <w:r w:rsidR="6B4239E0" w:rsidRPr="00154813">
        <w:t xml:space="preserve"> issuance </w:t>
      </w:r>
      <w:r w:rsidR="00413CF1" w:rsidRPr="00154813">
        <w:t>three</w:t>
      </w:r>
      <w:r w:rsidR="6B4239E0" w:rsidRPr="00154813">
        <w:t xml:space="preserve"> business days later who</w:t>
      </w:r>
      <w:r w:rsidR="09133703" w:rsidRPr="00154813">
        <w:t>se</w:t>
      </w:r>
      <w:r w:rsidR="6B4239E0" w:rsidRPr="00154813">
        <w:t xml:space="preserve"> </w:t>
      </w:r>
      <w:r w:rsidR="7C47BEEB" w:rsidRPr="00154813">
        <w:t>senior secured</w:t>
      </w:r>
      <w:r w:rsidR="6B4239E0" w:rsidRPr="00154813">
        <w:t xml:space="preserve"> credit rating </w:t>
      </w:r>
      <w:r w:rsidR="00A96E00" w:rsidRPr="00154813">
        <w:t xml:space="preserve">by Moody’s </w:t>
      </w:r>
      <w:r w:rsidR="6B4239E0" w:rsidRPr="00154813">
        <w:t xml:space="preserve">is </w:t>
      </w:r>
      <w:r w:rsidR="00A96E00" w:rsidRPr="00154813">
        <w:t>one</w:t>
      </w:r>
      <w:r w:rsidR="6B4239E0" w:rsidRPr="00154813">
        <w:t xml:space="preserve"> notch </w:t>
      </w:r>
      <w:r w:rsidR="051D2B4F" w:rsidRPr="00154813">
        <w:t>higher</w:t>
      </w:r>
      <w:r w:rsidR="6B4239E0" w:rsidRPr="00154813">
        <w:t xml:space="preserve"> quality</w:t>
      </w:r>
      <w:r w:rsidR="00FA5499" w:rsidRPr="00154813">
        <w:t xml:space="preserve"> </w:t>
      </w:r>
      <w:r w:rsidR="00392EA8" w:rsidRPr="00154813">
        <w:t>tha</w:t>
      </w:r>
      <w:r w:rsidR="00351BC3" w:rsidRPr="00154813">
        <w:t>n</w:t>
      </w:r>
      <w:r w:rsidR="4A793D87" w:rsidRPr="00154813">
        <w:t xml:space="preserve"> the </w:t>
      </w:r>
      <w:r w:rsidR="00752AB1" w:rsidRPr="00154813">
        <w:t xml:space="preserve">current </w:t>
      </w:r>
      <w:r w:rsidR="4A793D87" w:rsidRPr="00154813">
        <w:t xml:space="preserve">individual </w:t>
      </w:r>
      <w:r w:rsidR="001838F6" w:rsidRPr="00154813">
        <w:t xml:space="preserve">secured </w:t>
      </w:r>
      <w:r w:rsidR="4A793D87" w:rsidRPr="00154813">
        <w:t>bond rating of CenterPoint Houston</w:t>
      </w:r>
      <w:r w:rsidR="6B4239E0" w:rsidRPr="00154813">
        <w:t xml:space="preserve">. </w:t>
      </w:r>
      <w:r w:rsidR="00154813">
        <w:t xml:space="preserve"> </w:t>
      </w:r>
      <w:r w:rsidR="6B4239E0" w:rsidRPr="00154813">
        <w:t>See the comparison in</w:t>
      </w:r>
      <w:r w:rsidR="6B4239E0" w:rsidRPr="00154813" w:rsidDel="007A571A">
        <w:t xml:space="preserve"> </w:t>
      </w:r>
      <w:r w:rsidR="00D97535" w:rsidRPr="00154813">
        <w:t>T</w:t>
      </w:r>
      <w:r w:rsidR="6B4239E0" w:rsidRPr="00154813">
        <w:t xml:space="preserve">able </w:t>
      </w:r>
      <w:r w:rsidR="002520E1">
        <w:t>JRichert</w:t>
      </w:r>
      <w:r w:rsidR="00FC6EFA" w:rsidRPr="00154813">
        <w:t>-</w:t>
      </w:r>
      <w:r w:rsidR="00154813" w:rsidRPr="00154813">
        <w:t xml:space="preserve">4 </w:t>
      </w:r>
      <w:r w:rsidR="6B4239E0" w:rsidRPr="00154813">
        <w:t>below</w:t>
      </w:r>
      <w:r w:rsidR="00656585" w:rsidRPr="00154813">
        <w:t xml:space="preserve"> and the highlighted spreads</w:t>
      </w:r>
      <w:r w:rsidR="00EE50C2" w:rsidRPr="00154813">
        <w:t xml:space="preserve">. Public Service Electric &amp; Gas Co’s individual bond credit rating is </w:t>
      </w:r>
      <w:r w:rsidR="00905EAF" w:rsidRPr="00154813">
        <w:t>the same as CenterPoint Houston</w:t>
      </w:r>
      <w:r w:rsidR="00643301" w:rsidRPr="00154813">
        <w:t>’s</w:t>
      </w:r>
      <w:r w:rsidR="00905EAF" w:rsidRPr="00154813">
        <w:t xml:space="preserve"> prior to the Moody’s downgrade</w:t>
      </w:r>
      <w:r w:rsidR="000F067C" w:rsidRPr="00154813">
        <w:t xml:space="preserve"> in 2019</w:t>
      </w:r>
      <w:r w:rsidR="00905EAF" w:rsidRPr="00154813">
        <w:t xml:space="preserve">. </w:t>
      </w:r>
      <w:r w:rsidR="00154813">
        <w:t xml:space="preserve"> </w:t>
      </w:r>
      <w:r w:rsidR="00CF04E9" w:rsidRPr="00154813">
        <w:t xml:space="preserve">If </w:t>
      </w:r>
      <w:r w:rsidR="002E451F" w:rsidRPr="00154813">
        <w:t xml:space="preserve">that </w:t>
      </w:r>
      <w:r w:rsidR="00656585" w:rsidRPr="00154813">
        <w:t xml:space="preserve">1.22%, </w:t>
      </w:r>
      <w:r w:rsidR="00D20057" w:rsidRPr="00154813">
        <w:t>A1 rated</w:t>
      </w:r>
      <w:r w:rsidR="00656585" w:rsidRPr="00154813">
        <w:t>,</w:t>
      </w:r>
      <w:r w:rsidR="00D20057" w:rsidRPr="00154813">
        <w:t xml:space="preserve"> credit spread were applied to the CenterPoint Houston </w:t>
      </w:r>
      <w:r w:rsidR="00656585" w:rsidRPr="00154813">
        <w:t xml:space="preserve">$600 million </w:t>
      </w:r>
      <w:r w:rsidR="00D20057" w:rsidRPr="00154813">
        <w:t xml:space="preserve">issuance, that relative interest savings would be nearly $17 million over the </w:t>
      </w:r>
      <w:r w:rsidR="00656585" w:rsidRPr="00154813">
        <w:t xml:space="preserve">10-year </w:t>
      </w:r>
      <w:r w:rsidR="00D20057" w:rsidRPr="00154813">
        <w:t>life of that bond alone.</w:t>
      </w:r>
      <w:r w:rsidR="00905EAF" w:rsidRPr="00154813">
        <w:t xml:space="preserve"> </w:t>
      </w:r>
    </w:p>
    <w:p w14:paraId="1CD98C9B" w14:textId="4163C4D7" w:rsidR="00BD5072" w:rsidRDefault="00413CF1" w:rsidP="00643301">
      <w:pPr>
        <w:keepNext/>
        <w:keepLines/>
        <w:spacing w:after="120"/>
        <w:jc w:val="center"/>
      </w:pPr>
      <w:r>
        <w:rPr>
          <w:b/>
          <w:bCs/>
        </w:rPr>
        <w:lastRenderedPageBreak/>
        <w:t xml:space="preserve">Table </w:t>
      </w:r>
      <w:r w:rsidR="002520E1">
        <w:rPr>
          <w:b/>
          <w:bCs/>
        </w:rPr>
        <w:t>JRichert</w:t>
      </w:r>
      <w:r w:rsidR="005703E9">
        <w:rPr>
          <w:b/>
          <w:bCs/>
        </w:rPr>
        <w:t>-</w:t>
      </w:r>
      <w:r w:rsidR="00DA218B">
        <w:rPr>
          <w:b/>
          <w:bCs/>
        </w:rPr>
        <w:t>4</w:t>
      </w:r>
      <w:r w:rsidR="000E5EF3">
        <w:rPr>
          <w:b/>
          <w:bCs/>
        </w:rPr>
        <w:t xml:space="preserve">. </w:t>
      </w:r>
      <w:r>
        <w:rPr>
          <w:b/>
          <w:bCs/>
        </w:rPr>
        <w:t xml:space="preserve"> </w:t>
      </w:r>
      <w:r w:rsidR="00A378A7">
        <w:rPr>
          <w:b/>
          <w:bCs/>
        </w:rPr>
        <w:t xml:space="preserve">Peer </w:t>
      </w:r>
      <w:r w:rsidR="00643301">
        <w:rPr>
          <w:b/>
          <w:bCs/>
        </w:rPr>
        <w:t>C</w:t>
      </w:r>
      <w:r>
        <w:rPr>
          <w:b/>
          <w:bCs/>
        </w:rPr>
        <w:t xml:space="preserve">omparison of </w:t>
      </w:r>
      <w:r w:rsidR="00622578">
        <w:rPr>
          <w:b/>
          <w:bCs/>
        </w:rPr>
        <w:t>CenterPoint Houston</w:t>
      </w:r>
      <w:r w:rsidR="001C6BFC">
        <w:rPr>
          <w:b/>
          <w:bCs/>
        </w:rPr>
        <w:t>’s March 2023 Bond Issuance</w:t>
      </w:r>
    </w:p>
    <w:tbl>
      <w:tblPr>
        <w:tblW w:w="8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1274"/>
        <w:gridCol w:w="1017"/>
        <w:gridCol w:w="1017"/>
        <w:gridCol w:w="1017"/>
        <w:gridCol w:w="1011"/>
        <w:gridCol w:w="147"/>
        <w:gridCol w:w="1359"/>
        <w:gridCol w:w="989"/>
        <w:gridCol w:w="1079"/>
      </w:tblGrid>
      <w:tr w:rsidR="00AD214B" w:rsidRPr="001C6BFC" w14:paraId="2D3B7C0F" w14:textId="77777777" w:rsidTr="008B5E62">
        <w:trPr>
          <w:trHeight w:val="77"/>
        </w:trPr>
        <w:tc>
          <w:tcPr>
            <w:tcW w:w="1277" w:type="dxa"/>
            <w:tcBorders>
              <w:top w:val="nil"/>
              <w:left w:val="nil"/>
              <w:bottom w:val="nil"/>
              <w:right w:val="nil"/>
            </w:tcBorders>
            <w:shd w:val="clear" w:color="auto" w:fill="auto"/>
            <w:noWrap/>
            <w:vAlign w:val="bottom"/>
            <w:hideMark/>
          </w:tcPr>
          <w:p w14:paraId="5FD97759" w14:textId="77777777" w:rsidR="00AD214B" w:rsidRPr="001C6BFC" w:rsidRDefault="00AD214B" w:rsidP="00643301">
            <w:pPr>
              <w:keepNext/>
              <w:rPr>
                <w:szCs w:val="24"/>
              </w:rPr>
            </w:pPr>
          </w:p>
        </w:tc>
        <w:tc>
          <w:tcPr>
            <w:tcW w:w="1018" w:type="dxa"/>
            <w:tcBorders>
              <w:top w:val="nil"/>
              <w:left w:val="nil"/>
              <w:bottom w:val="nil"/>
              <w:right w:val="nil"/>
            </w:tcBorders>
            <w:shd w:val="clear" w:color="auto" w:fill="auto"/>
            <w:noWrap/>
            <w:vAlign w:val="bottom"/>
            <w:hideMark/>
          </w:tcPr>
          <w:p w14:paraId="34C4883F" w14:textId="77777777" w:rsidR="00AD214B" w:rsidRPr="001C6BFC" w:rsidRDefault="00AD214B" w:rsidP="00643301">
            <w:pPr>
              <w:keepNext/>
              <w:rPr>
                <w:szCs w:val="24"/>
              </w:rPr>
            </w:pPr>
          </w:p>
        </w:tc>
        <w:tc>
          <w:tcPr>
            <w:tcW w:w="1018" w:type="dxa"/>
            <w:tcBorders>
              <w:top w:val="nil"/>
              <w:left w:val="nil"/>
              <w:bottom w:val="nil"/>
              <w:right w:val="nil"/>
            </w:tcBorders>
            <w:shd w:val="clear" w:color="auto" w:fill="auto"/>
            <w:noWrap/>
            <w:vAlign w:val="bottom"/>
            <w:hideMark/>
          </w:tcPr>
          <w:p w14:paraId="72AB967A" w14:textId="77777777" w:rsidR="00AD214B" w:rsidRPr="001C6BFC" w:rsidRDefault="00AD214B" w:rsidP="00643301">
            <w:pPr>
              <w:keepNext/>
              <w:rPr>
                <w:szCs w:val="24"/>
              </w:rPr>
            </w:pPr>
          </w:p>
        </w:tc>
        <w:tc>
          <w:tcPr>
            <w:tcW w:w="2030" w:type="dxa"/>
            <w:gridSpan w:val="2"/>
            <w:tcBorders>
              <w:top w:val="nil"/>
              <w:left w:val="nil"/>
              <w:bottom w:val="nil"/>
              <w:right w:val="nil"/>
            </w:tcBorders>
            <w:shd w:val="clear" w:color="auto" w:fill="auto"/>
            <w:noWrap/>
            <w:vAlign w:val="bottom"/>
            <w:hideMark/>
          </w:tcPr>
          <w:p w14:paraId="3BB8AC00" w14:textId="77777777" w:rsidR="00AD214B" w:rsidRPr="001C6BFC" w:rsidRDefault="00AD214B" w:rsidP="00643301">
            <w:pPr>
              <w:keepNext/>
              <w:rPr>
                <w:szCs w:val="24"/>
              </w:rPr>
            </w:pPr>
          </w:p>
        </w:tc>
        <w:tc>
          <w:tcPr>
            <w:tcW w:w="136" w:type="dxa"/>
            <w:tcBorders>
              <w:top w:val="nil"/>
              <w:left w:val="nil"/>
              <w:bottom w:val="nil"/>
              <w:right w:val="nil"/>
            </w:tcBorders>
            <w:shd w:val="clear" w:color="auto" w:fill="auto"/>
            <w:noWrap/>
            <w:vAlign w:val="bottom"/>
            <w:hideMark/>
          </w:tcPr>
          <w:p w14:paraId="36AB4235" w14:textId="77777777" w:rsidR="00AD214B" w:rsidRPr="001C6BFC" w:rsidRDefault="00AD214B" w:rsidP="00643301">
            <w:pPr>
              <w:keepNext/>
              <w:rPr>
                <w:szCs w:val="24"/>
              </w:rPr>
            </w:pPr>
          </w:p>
        </w:tc>
        <w:tc>
          <w:tcPr>
            <w:tcW w:w="1361" w:type="dxa"/>
            <w:tcBorders>
              <w:top w:val="nil"/>
              <w:left w:val="nil"/>
              <w:bottom w:val="nil"/>
              <w:right w:val="nil"/>
            </w:tcBorders>
            <w:shd w:val="clear" w:color="auto" w:fill="auto"/>
            <w:noWrap/>
            <w:vAlign w:val="bottom"/>
            <w:hideMark/>
          </w:tcPr>
          <w:p w14:paraId="6317CCA9" w14:textId="77777777" w:rsidR="00AD214B" w:rsidRPr="001C6BFC" w:rsidRDefault="00AD214B" w:rsidP="00643301">
            <w:pPr>
              <w:keepNext/>
              <w:jc w:val="center"/>
              <w:rPr>
                <w:b/>
                <w:color w:val="000000"/>
                <w:szCs w:val="24"/>
              </w:rPr>
            </w:pPr>
            <w:r w:rsidRPr="001C6BFC">
              <w:rPr>
                <w:b/>
                <w:color w:val="000000"/>
                <w:szCs w:val="24"/>
              </w:rPr>
              <w:t>A +</w:t>
            </w:r>
          </w:p>
        </w:tc>
        <w:tc>
          <w:tcPr>
            <w:tcW w:w="990" w:type="dxa"/>
            <w:tcBorders>
              <w:top w:val="nil"/>
              <w:left w:val="nil"/>
              <w:bottom w:val="nil"/>
              <w:right w:val="nil"/>
            </w:tcBorders>
            <w:shd w:val="clear" w:color="auto" w:fill="auto"/>
            <w:noWrap/>
            <w:vAlign w:val="bottom"/>
            <w:hideMark/>
          </w:tcPr>
          <w:p w14:paraId="23134E55" w14:textId="77777777" w:rsidR="00AD214B" w:rsidRPr="001C6BFC" w:rsidRDefault="00AD214B" w:rsidP="00643301">
            <w:pPr>
              <w:keepNext/>
              <w:jc w:val="center"/>
              <w:rPr>
                <w:b/>
                <w:color w:val="000000"/>
                <w:szCs w:val="24"/>
              </w:rPr>
            </w:pPr>
            <w:r w:rsidRPr="001C6BFC">
              <w:rPr>
                <w:b/>
                <w:color w:val="000000"/>
                <w:szCs w:val="24"/>
              </w:rPr>
              <w:t>B =</w:t>
            </w:r>
          </w:p>
        </w:tc>
        <w:tc>
          <w:tcPr>
            <w:tcW w:w="1080" w:type="dxa"/>
            <w:tcBorders>
              <w:top w:val="nil"/>
              <w:left w:val="nil"/>
              <w:bottom w:val="nil"/>
              <w:right w:val="nil"/>
            </w:tcBorders>
            <w:shd w:val="clear" w:color="auto" w:fill="auto"/>
            <w:noWrap/>
            <w:vAlign w:val="bottom"/>
            <w:hideMark/>
          </w:tcPr>
          <w:p w14:paraId="36B0CBAD" w14:textId="77777777" w:rsidR="00AD214B" w:rsidRPr="001C6BFC" w:rsidRDefault="00AD214B" w:rsidP="00643301">
            <w:pPr>
              <w:keepNext/>
              <w:jc w:val="center"/>
              <w:rPr>
                <w:b/>
                <w:color w:val="000000"/>
                <w:szCs w:val="24"/>
              </w:rPr>
            </w:pPr>
            <w:r w:rsidRPr="001C6BFC">
              <w:rPr>
                <w:b/>
                <w:color w:val="000000"/>
                <w:szCs w:val="24"/>
              </w:rPr>
              <w:t>C</w:t>
            </w:r>
          </w:p>
        </w:tc>
      </w:tr>
      <w:tr w:rsidR="002D7FBD" w:rsidRPr="001C6BFC" w14:paraId="6A74C42C" w14:textId="77777777" w:rsidTr="008B5E62">
        <w:trPr>
          <w:trHeight w:val="592"/>
        </w:trPr>
        <w:tc>
          <w:tcPr>
            <w:tcW w:w="1277" w:type="dxa"/>
            <w:shd w:val="clear" w:color="auto" w:fill="F2F2F2" w:themeFill="background1" w:themeFillShade="F2"/>
            <w:noWrap/>
            <w:vAlign w:val="center"/>
            <w:hideMark/>
          </w:tcPr>
          <w:p w14:paraId="237DD790" w14:textId="77777777" w:rsidR="00AD214B" w:rsidRPr="001C6BFC" w:rsidRDefault="00AD214B" w:rsidP="00643301">
            <w:pPr>
              <w:keepNext/>
              <w:jc w:val="center"/>
              <w:rPr>
                <w:b/>
                <w:color w:val="000000"/>
                <w:szCs w:val="24"/>
              </w:rPr>
            </w:pPr>
          </w:p>
        </w:tc>
        <w:tc>
          <w:tcPr>
            <w:tcW w:w="1018" w:type="dxa"/>
            <w:shd w:val="clear" w:color="auto" w:fill="F2F2F2" w:themeFill="background1" w:themeFillShade="F2"/>
            <w:vAlign w:val="center"/>
            <w:hideMark/>
          </w:tcPr>
          <w:p w14:paraId="2DC371C6" w14:textId="20EFFFBE" w:rsidR="00AD214B" w:rsidRPr="00384BA8" w:rsidRDefault="00392EA8" w:rsidP="00643301">
            <w:pPr>
              <w:keepNext/>
              <w:jc w:val="center"/>
              <w:rPr>
                <w:b/>
                <w:color w:val="000000"/>
                <w:sz w:val="18"/>
                <w:szCs w:val="18"/>
              </w:rPr>
            </w:pPr>
            <w:r w:rsidRPr="00384BA8">
              <w:rPr>
                <w:b/>
                <w:color w:val="000000"/>
                <w:sz w:val="18"/>
                <w:szCs w:val="18"/>
              </w:rPr>
              <w:t xml:space="preserve">Bond </w:t>
            </w:r>
            <w:r w:rsidR="00AD214B" w:rsidRPr="00384BA8">
              <w:rPr>
                <w:b/>
                <w:color w:val="000000"/>
                <w:sz w:val="18"/>
                <w:szCs w:val="18"/>
              </w:rPr>
              <w:t>Rating (Moody's / S&amp;P)</w:t>
            </w:r>
          </w:p>
        </w:tc>
        <w:tc>
          <w:tcPr>
            <w:tcW w:w="1018" w:type="dxa"/>
            <w:shd w:val="clear" w:color="auto" w:fill="F2F2F2" w:themeFill="background1" w:themeFillShade="F2"/>
            <w:vAlign w:val="center"/>
            <w:hideMark/>
          </w:tcPr>
          <w:p w14:paraId="3DF09731" w14:textId="77777777" w:rsidR="00AD214B" w:rsidRPr="00384BA8" w:rsidRDefault="00AD214B" w:rsidP="00643301">
            <w:pPr>
              <w:keepNext/>
              <w:jc w:val="center"/>
              <w:rPr>
                <w:b/>
                <w:color w:val="000000"/>
                <w:sz w:val="18"/>
                <w:szCs w:val="18"/>
              </w:rPr>
            </w:pPr>
            <w:r w:rsidRPr="00384BA8">
              <w:rPr>
                <w:b/>
                <w:color w:val="000000"/>
                <w:sz w:val="18"/>
                <w:szCs w:val="18"/>
              </w:rPr>
              <w:t>Amount                    ($ in Millions)</w:t>
            </w:r>
          </w:p>
        </w:tc>
        <w:tc>
          <w:tcPr>
            <w:tcW w:w="1018" w:type="dxa"/>
            <w:shd w:val="clear" w:color="auto" w:fill="F2F2F2" w:themeFill="background1" w:themeFillShade="F2"/>
            <w:vAlign w:val="center"/>
            <w:hideMark/>
          </w:tcPr>
          <w:p w14:paraId="51E4F99B" w14:textId="77777777" w:rsidR="00AD214B" w:rsidRPr="00384BA8" w:rsidRDefault="00AD214B" w:rsidP="00643301">
            <w:pPr>
              <w:keepNext/>
              <w:jc w:val="center"/>
              <w:rPr>
                <w:b/>
                <w:color w:val="000000"/>
                <w:sz w:val="18"/>
                <w:szCs w:val="18"/>
              </w:rPr>
            </w:pPr>
            <w:r w:rsidRPr="00384BA8">
              <w:rPr>
                <w:b/>
                <w:color w:val="000000"/>
                <w:sz w:val="18"/>
                <w:szCs w:val="18"/>
              </w:rPr>
              <w:t>Duration</w:t>
            </w:r>
          </w:p>
        </w:tc>
        <w:tc>
          <w:tcPr>
            <w:tcW w:w="1159" w:type="dxa"/>
            <w:gridSpan w:val="2"/>
            <w:shd w:val="clear" w:color="auto" w:fill="F2F2F2" w:themeFill="background1" w:themeFillShade="F2"/>
            <w:vAlign w:val="center"/>
            <w:hideMark/>
          </w:tcPr>
          <w:p w14:paraId="5848A219" w14:textId="77777777" w:rsidR="00AD214B" w:rsidRPr="00384BA8" w:rsidRDefault="00AD214B" w:rsidP="00643301">
            <w:pPr>
              <w:keepNext/>
              <w:jc w:val="center"/>
              <w:rPr>
                <w:b/>
                <w:color w:val="000000"/>
                <w:sz w:val="18"/>
                <w:szCs w:val="18"/>
              </w:rPr>
            </w:pPr>
            <w:r w:rsidRPr="00384BA8">
              <w:rPr>
                <w:b/>
                <w:color w:val="000000"/>
                <w:sz w:val="18"/>
                <w:szCs w:val="18"/>
              </w:rPr>
              <w:t>Issuance date</w:t>
            </w:r>
          </w:p>
        </w:tc>
        <w:tc>
          <w:tcPr>
            <w:tcW w:w="1350" w:type="dxa"/>
            <w:shd w:val="clear" w:color="auto" w:fill="F2F2F2" w:themeFill="background1" w:themeFillShade="F2"/>
            <w:vAlign w:val="center"/>
            <w:hideMark/>
          </w:tcPr>
          <w:p w14:paraId="757F7D68" w14:textId="77777777" w:rsidR="00AD214B" w:rsidRPr="00384BA8" w:rsidRDefault="00AD214B" w:rsidP="00643301">
            <w:pPr>
              <w:keepNext/>
              <w:jc w:val="center"/>
              <w:rPr>
                <w:b/>
                <w:color w:val="000000"/>
                <w:sz w:val="18"/>
                <w:szCs w:val="18"/>
              </w:rPr>
            </w:pPr>
            <w:r w:rsidRPr="00384BA8">
              <w:rPr>
                <w:b/>
                <w:color w:val="000000"/>
                <w:sz w:val="18"/>
                <w:szCs w:val="18"/>
              </w:rPr>
              <w:t>Treasury Benchmark</w:t>
            </w:r>
          </w:p>
        </w:tc>
        <w:tc>
          <w:tcPr>
            <w:tcW w:w="990" w:type="dxa"/>
            <w:shd w:val="clear" w:color="auto" w:fill="F2F2F2" w:themeFill="background1" w:themeFillShade="F2"/>
            <w:vAlign w:val="center"/>
            <w:hideMark/>
          </w:tcPr>
          <w:p w14:paraId="36FB074D" w14:textId="77777777" w:rsidR="00AD214B" w:rsidRPr="00384BA8" w:rsidRDefault="00AD214B" w:rsidP="00643301">
            <w:pPr>
              <w:keepNext/>
              <w:jc w:val="center"/>
              <w:rPr>
                <w:b/>
                <w:color w:val="000000"/>
                <w:sz w:val="18"/>
                <w:szCs w:val="18"/>
              </w:rPr>
            </w:pPr>
            <w:r w:rsidRPr="00384BA8">
              <w:rPr>
                <w:b/>
                <w:color w:val="000000"/>
                <w:sz w:val="18"/>
                <w:szCs w:val="18"/>
              </w:rPr>
              <w:t>New Issue Spread</w:t>
            </w:r>
          </w:p>
        </w:tc>
        <w:tc>
          <w:tcPr>
            <w:tcW w:w="1080" w:type="dxa"/>
            <w:shd w:val="clear" w:color="auto" w:fill="F2F2F2" w:themeFill="background1" w:themeFillShade="F2"/>
            <w:vAlign w:val="center"/>
            <w:hideMark/>
          </w:tcPr>
          <w:p w14:paraId="5753ED03" w14:textId="77777777" w:rsidR="00AD214B" w:rsidRPr="00384BA8" w:rsidRDefault="00AD214B" w:rsidP="00643301">
            <w:pPr>
              <w:keepNext/>
              <w:jc w:val="center"/>
              <w:rPr>
                <w:b/>
                <w:color w:val="000000"/>
                <w:sz w:val="18"/>
                <w:szCs w:val="18"/>
              </w:rPr>
            </w:pPr>
            <w:r w:rsidRPr="00384BA8">
              <w:rPr>
                <w:b/>
                <w:color w:val="000000"/>
                <w:sz w:val="18"/>
                <w:szCs w:val="18"/>
              </w:rPr>
              <w:t>Yield</w:t>
            </w:r>
          </w:p>
        </w:tc>
      </w:tr>
      <w:tr w:rsidR="002D7FBD" w:rsidRPr="001C6BFC" w14:paraId="0388CC13" w14:textId="77777777" w:rsidTr="008B5E62">
        <w:trPr>
          <w:trHeight w:val="435"/>
        </w:trPr>
        <w:tc>
          <w:tcPr>
            <w:tcW w:w="1277" w:type="dxa"/>
            <w:shd w:val="clear" w:color="auto" w:fill="auto"/>
            <w:noWrap/>
            <w:vAlign w:val="bottom"/>
            <w:hideMark/>
          </w:tcPr>
          <w:p w14:paraId="44A0B0CF" w14:textId="039DB8A0" w:rsidR="00AD214B" w:rsidRPr="00384BA8" w:rsidRDefault="00AD214B" w:rsidP="00643301">
            <w:pPr>
              <w:keepNext/>
              <w:rPr>
                <w:color w:val="000000"/>
                <w:sz w:val="22"/>
                <w:szCs w:val="22"/>
              </w:rPr>
            </w:pPr>
            <w:r w:rsidRPr="00384BA8">
              <w:rPr>
                <w:color w:val="000000"/>
                <w:sz w:val="22"/>
                <w:szCs w:val="22"/>
              </w:rPr>
              <w:t xml:space="preserve">CenterPoint </w:t>
            </w:r>
            <w:r w:rsidR="000431DD" w:rsidRPr="00384BA8">
              <w:rPr>
                <w:color w:val="000000"/>
                <w:sz w:val="22"/>
                <w:szCs w:val="22"/>
              </w:rPr>
              <w:t>Houston</w:t>
            </w:r>
          </w:p>
        </w:tc>
        <w:tc>
          <w:tcPr>
            <w:tcW w:w="1018" w:type="dxa"/>
            <w:shd w:val="clear" w:color="auto" w:fill="auto"/>
            <w:noWrap/>
            <w:vAlign w:val="center"/>
            <w:hideMark/>
          </w:tcPr>
          <w:p w14:paraId="63ABE0CB" w14:textId="77777777" w:rsidR="00AD214B" w:rsidRPr="00384BA8" w:rsidRDefault="00AD214B" w:rsidP="00643301">
            <w:pPr>
              <w:keepNext/>
              <w:jc w:val="center"/>
              <w:rPr>
                <w:color w:val="000000"/>
                <w:sz w:val="22"/>
                <w:szCs w:val="22"/>
              </w:rPr>
            </w:pPr>
            <w:r w:rsidRPr="00384BA8">
              <w:rPr>
                <w:color w:val="000000"/>
                <w:sz w:val="22"/>
                <w:szCs w:val="22"/>
              </w:rPr>
              <w:t>A2/A</w:t>
            </w:r>
          </w:p>
        </w:tc>
        <w:tc>
          <w:tcPr>
            <w:tcW w:w="1018" w:type="dxa"/>
            <w:shd w:val="clear" w:color="auto" w:fill="auto"/>
            <w:noWrap/>
            <w:vAlign w:val="center"/>
            <w:hideMark/>
          </w:tcPr>
          <w:p w14:paraId="53DBC5A7" w14:textId="269251E1" w:rsidR="00AD214B" w:rsidRPr="00384BA8" w:rsidRDefault="00AD214B" w:rsidP="00643301">
            <w:pPr>
              <w:keepNext/>
              <w:jc w:val="center"/>
              <w:rPr>
                <w:color w:val="000000"/>
                <w:sz w:val="22"/>
                <w:szCs w:val="22"/>
              </w:rPr>
            </w:pPr>
            <w:r w:rsidRPr="00384BA8">
              <w:rPr>
                <w:color w:val="000000"/>
                <w:sz w:val="22"/>
                <w:szCs w:val="22"/>
              </w:rPr>
              <w:t>$600</w:t>
            </w:r>
          </w:p>
        </w:tc>
        <w:tc>
          <w:tcPr>
            <w:tcW w:w="1018" w:type="dxa"/>
            <w:shd w:val="clear" w:color="auto" w:fill="auto"/>
            <w:noWrap/>
            <w:vAlign w:val="center"/>
            <w:hideMark/>
          </w:tcPr>
          <w:p w14:paraId="313A85D0" w14:textId="244A4E2E" w:rsidR="00AD214B" w:rsidRPr="00384BA8" w:rsidRDefault="00AD214B" w:rsidP="00643301">
            <w:pPr>
              <w:keepNext/>
              <w:jc w:val="center"/>
              <w:rPr>
                <w:color w:val="000000"/>
                <w:sz w:val="22"/>
                <w:szCs w:val="22"/>
              </w:rPr>
            </w:pPr>
            <w:r w:rsidRPr="00384BA8">
              <w:rPr>
                <w:color w:val="000000"/>
                <w:sz w:val="22"/>
                <w:szCs w:val="22"/>
              </w:rPr>
              <w:t>10 yr</w:t>
            </w:r>
          </w:p>
        </w:tc>
        <w:tc>
          <w:tcPr>
            <w:tcW w:w="1159" w:type="dxa"/>
            <w:gridSpan w:val="2"/>
            <w:shd w:val="clear" w:color="auto" w:fill="auto"/>
            <w:noWrap/>
            <w:vAlign w:val="center"/>
            <w:hideMark/>
          </w:tcPr>
          <w:p w14:paraId="2D2C56DA" w14:textId="77777777" w:rsidR="00AD214B" w:rsidRPr="00384BA8" w:rsidRDefault="00AD214B" w:rsidP="00643301">
            <w:pPr>
              <w:keepNext/>
              <w:jc w:val="center"/>
              <w:rPr>
                <w:color w:val="000000"/>
                <w:sz w:val="22"/>
                <w:szCs w:val="22"/>
              </w:rPr>
            </w:pPr>
            <w:r w:rsidRPr="00384BA8">
              <w:rPr>
                <w:color w:val="000000"/>
                <w:sz w:val="22"/>
                <w:szCs w:val="22"/>
              </w:rPr>
              <w:t>20-Mar-23</w:t>
            </w:r>
          </w:p>
        </w:tc>
        <w:tc>
          <w:tcPr>
            <w:tcW w:w="1350" w:type="dxa"/>
            <w:shd w:val="clear" w:color="auto" w:fill="auto"/>
            <w:noWrap/>
            <w:vAlign w:val="center"/>
            <w:hideMark/>
          </w:tcPr>
          <w:p w14:paraId="190CBE51" w14:textId="77777777" w:rsidR="00AD214B" w:rsidRPr="00384BA8" w:rsidRDefault="00AD214B" w:rsidP="00643301">
            <w:pPr>
              <w:keepNext/>
              <w:jc w:val="center"/>
              <w:rPr>
                <w:color w:val="000000"/>
                <w:sz w:val="22"/>
                <w:szCs w:val="22"/>
              </w:rPr>
            </w:pPr>
            <w:r w:rsidRPr="00384BA8">
              <w:rPr>
                <w:color w:val="000000"/>
                <w:sz w:val="22"/>
                <w:szCs w:val="22"/>
              </w:rPr>
              <w:t>3.48%</w:t>
            </w:r>
          </w:p>
        </w:tc>
        <w:tc>
          <w:tcPr>
            <w:tcW w:w="990" w:type="dxa"/>
            <w:shd w:val="clear" w:color="auto" w:fill="FFFF00"/>
            <w:noWrap/>
            <w:vAlign w:val="center"/>
            <w:hideMark/>
          </w:tcPr>
          <w:p w14:paraId="18EDEA17" w14:textId="77777777" w:rsidR="00AD214B" w:rsidRPr="00384BA8" w:rsidRDefault="00AD214B" w:rsidP="00643301">
            <w:pPr>
              <w:keepNext/>
              <w:jc w:val="center"/>
              <w:rPr>
                <w:color w:val="000000"/>
                <w:sz w:val="22"/>
                <w:szCs w:val="22"/>
              </w:rPr>
            </w:pPr>
            <w:r w:rsidRPr="00384BA8">
              <w:rPr>
                <w:color w:val="000000"/>
                <w:sz w:val="22"/>
                <w:szCs w:val="22"/>
              </w:rPr>
              <w:t>1.50%</w:t>
            </w:r>
          </w:p>
        </w:tc>
        <w:tc>
          <w:tcPr>
            <w:tcW w:w="1080" w:type="dxa"/>
            <w:shd w:val="clear" w:color="auto" w:fill="auto"/>
            <w:noWrap/>
            <w:vAlign w:val="center"/>
            <w:hideMark/>
          </w:tcPr>
          <w:p w14:paraId="7A3A44D3" w14:textId="77777777" w:rsidR="00AD214B" w:rsidRPr="00384BA8" w:rsidRDefault="00AD214B" w:rsidP="00643301">
            <w:pPr>
              <w:keepNext/>
              <w:jc w:val="center"/>
              <w:rPr>
                <w:color w:val="000000"/>
                <w:sz w:val="22"/>
                <w:szCs w:val="22"/>
              </w:rPr>
            </w:pPr>
            <w:r w:rsidRPr="00384BA8">
              <w:rPr>
                <w:color w:val="000000"/>
                <w:sz w:val="22"/>
                <w:szCs w:val="22"/>
              </w:rPr>
              <w:t>4.98%</w:t>
            </w:r>
          </w:p>
        </w:tc>
      </w:tr>
      <w:tr w:rsidR="002D7FBD" w:rsidRPr="001C6BFC" w14:paraId="14D92448" w14:textId="77777777" w:rsidTr="008B5E62">
        <w:trPr>
          <w:trHeight w:val="567"/>
        </w:trPr>
        <w:tc>
          <w:tcPr>
            <w:tcW w:w="1277" w:type="dxa"/>
            <w:shd w:val="clear" w:color="auto" w:fill="auto"/>
            <w:noWrap/>
            <w:vAlign w:val="bottom"/>
            <w:hideMark/>
          </w:tcPr>
          <w:p w14:paraId="524327DF" w14:textId="10EB5617" w:rsidR="00AD214B" w:rsidRPr="00384BA8" w:rsidRDefault="4AB94B9B" w:rsidP="00643301">
            <w:pPr>
              <w:keepNext/>
              <w:rPr>
                <w:color w:val="000000" w:themeColor="text1"/>
                <w:sz w:val="22"/>
                <w:szCs w:val="22"/>
              </w:rPr>
            </w:pPr>
            <w:r w:rsidRPr="00384BA8">
              <w:rPr>
                <w:color w:val="000000" w:themeColor="text1"/>
                <w:sz w:val="22"/>
                <w:szCs w:val="22"/>
              </w:rPr>
              <w:t xml:space="preserve">Public Service Electric &amp; Gas </w:t>
            </w:r>
            <w:r w:rsidR="00D8337C" w:rsidRPr="00384BA8">
              <w:rPr>
                <w:color w:val="000000" w:themeColor="text1"/>
                <w:sz w:val="22"/>
                <w:szCs w:val="22"/>
              </w:rPr>
              <w:t>Co</w:t>
            </w:r>
            <w:r w:rsidR="00967E93" w:rsidRPr="00384BA8">
              <w:rPr>
                <w:color w:val="000000" w:themeColor="text1"/>
                <w:sz w:val="22"/>
                <w:szCs w:val="22"/>
              </w:rPr>
              <w:t>.</w:t>
            </w:r>
            <w:r w:rsidR="00D8337C" w:rsidRPr="00384BA8">
              <w:rPr>
                <w:color w:val="000000" w:themeColor="text1"/>
                <w:sz w:val="22"/>
                <w:szCs w:val="22"/>
              </w:rPr>
              <w:t xml:space="preserve"> </w:t>
            </w:r>
            <w:r w:rsidRPr="00384BA8">
              <w:rPr>
                <w:color w:val="000000" w:themeColor="text1"/>
                <w:sz w:val="22"/>
                <w:szCs w:val="22"/>
              </w:rPr>
              <w:t>(G)</w:t>
            </w:r>
          </w:p>
        </w:tc>
        <w:tc>
          <w:tcPr>
            <w:tcW w:w="1018" w:type="dxa"/>
            <w:shd w:val="clear" w:color="auto" w:fill="auto"/>
            <w:noWrap/>
            <w:vAlign w:val="center"/>
            <w:hideMark/>
          </w:tcPr>
          <w:p w14:paraId="755D8919" w14:textId="74AFB2E6" w:rsidR="00AD214B" w:rsidRPr="00384BA8" w:rsidRDefault="4AB94B9B" w:rsidP="00643301">
            <w:pPr>
              <w:keepNext/>
              <w:jc w:val="center"/>
              <w:rPr>
                <w:color w:val="000000"/>
                <w:sz w:val="22"/>
                <w:szCs w:val="22"/>
              </w:rPr>
            </w:pPr>
            <w:r w:rsidRPr="00384BA8">
              <w:rPr>
                <w:color w:val="000000" w:themeColor="text1"/>
                <w:sz w:val="22"/>
                <w:szCs w:val="22"/>
              </w:rPr>
              <w:t>A1</w:t>
            </w:r>
            <w:r w:rsidR="6B4239E0" w:rsidRPr="00384BA8">
              <w:rPr>
                <w:color w:val="000000" w:themeColor="text1"/>
                <w:sz w:val="22"/>
                <w:szCs w:val="22"/>
              </w:rPr>
              <w:t>/A</w:t>
            </w:r>
          </w:p>
        </w:tc>
        <w:tc>
          <w:tcPr>
            <w:tcW w:w="1018" w:type="dxa"/>
            <w:shd w:val="clear" w:color="auto" w:fill="auto"/>
            <w:noWrap/>
            <w:vAlign w:val="center"/>
            <w:hideMark/>
          </w:tcPr>
          <w:p w14:paraId="20618449" w14:textId="75EFE366" w:rsidR="00AD214B" w:rsidRPr="00384BA8" w:rsidRDefault="497973EA" w:rsidP="00643301">
            <w:pPr>
              <w:keepNext/>
              <w:jc w:val="center"/>
              <w:rPr>
                <w:sz w:val="22"/>
                <w:szCs w:val="22"/>
              </w:rPr>
            </w:pPr>
            <w:r w:rsidRPr="00384BA8">
              <w:rPr>
                <w:color w:val="000000" w:themeColor="text1"/>
                <w:sz w:val="22"/>
                <w:szCs w:val="22"/>
              </w:rPr>
              <w:t>$500</w:t>
            </w:r>
          </w:p>
        </w:tc>
        <w:tc>
          <w:tcPr>
            <w:tcW w:w="1018" w:type="dxa"/>
            <w:shd w:val="clear" w:color="auto" w:fill="auto"/>
            <w:noWrap/>
            <w:vAlign w:val="center"/>
            <w:hideMark/>
          </w:tcPr>
          <w:p w14:paraId="581CB644" w14:textId="0ED5B08F" w:rsidR="00AD214B" w:rsidRPr="00384BA8" w:rsidRDefault="00AD214B" w:rsidP="00643301">
            <w:pPr>
              <w:keepNext/>
              <w:jc w:val="center"/>
              <w:rPr>
                <w:color w:val="000000"/>
                <w:sz w:val="22"/>
                <w:szCs w:val="22"/>
              </w:rPr>
            </w:pPr>
            <w:r w:rsidRPr="00384BA8">
              <w:rPr>
                <w:color w:val="000000"/>
                <w:sz w:val="22"/>
                <w:szCs w:val="22"/>
              </w:rPr>
              <w:t>10 yr</w:t>
            </w:r>
          </w:p>
        </w:tc>
        <w:tc>
          <w:tcPr>
            <w:tcW w:w="1159" w:type="dxa"/>
            <w:gridSpan w:val="2"/>
            <w:shd w:val="clear" w:color="auto" w:fill="auto"/>
            <w:noWrap/>
            <w:vAlign w:val="center"/>
            <w:hideMark/>
          </w:tcPr>
          <w:p w14:paraId="60892F0F" w14:textId="77428CC5" w:rsidR="00AD214B" w:rsidRPr="00384BA8" w:rsidRDefault="6B4239E0" w:rsidP="00643301">
            <w:pPr>
              <w:keepNext/>
              <w:jc w:val="center"/>
              <w:rPr>
                <w:color w:val="000000"/>
                <w:sz w:val="22"/>
                <w:szCs w:val="22"/>
              </w:rPr>
            </w:pPr>
            <w:r w:rsidRPr="00384BA8">
              <w:rPr>
                <w:color w:val="000000" w:themeColor="text1"/>
                <w:sz w:val="22"/>
                <w:szCs w:val="22"/>
              </w:rPr>
              <w:t>2</w:t>
            </w:r>
            <w:r w:rsidR="58AAD563" w:rsidRPr="00384BA8">
              <w:rPr>
                <w:color w:val="000000" w:themeColor="text1"/>
                <w:sz w:val="22"/>
                <w:szCs w:val="22"/>
              </w:rPr>
              <w:t>3</w:t>
            </w:r>
            <w:r w:rsidRPr="00384BA8">
              <w:rPr>
                <w:color w:val="000000" w:themeColor="text1"/>
                <w:sz w:val="22"/>
                <w:szCs w:val="22"/>
              </w:rPr>
              <w:t>-Mar-23</w:t>
            </w:r>
          </w:p>
        </w:tc>
        <w:tc>
          <w:tcPr>
            <w:tcW w:w="1350" w:type="dxa"/>
            <w:shd w:val="clear" w:color="auto" w:fill="auto"/>
            <w:noWrap/>
            <w:vAlign w:val="center"/>
            <w:hideMark/>
          </w:tcPr>
          <w:p w14:paraId="09DF42EC" w14:textId="6A558B08" w:rsidR="00AD214B" w:rsidRPr="00384BA8" w:rsidRDefault="6B4239E0" w:rsidP="00643301">
            <w:pPr>
              <w:keepNext/>
              <w:jc w:val="center"/>
              <w:rPr>
                <w:color w:val="000000"/>
                <w:sz w:val="22"/>
                <w:szCs w:val="22"/>
              </w:rPr>
            </w:pPr>
            <w:r w:rsidRPr="00384BA8">
              <w:rPr>
                <w:color w:val="000000" w:themeColor="text1"/>
                <w:sz w:val="22"/>
                <w:szCs w:val="22"/>
              </w:rPr>
              <w:t>3.</w:t>
            </w:r>
            <w:r w:rsidR="2B301B34" w:rsidRPr="00384BA8">
              <w:rPr>
                <w:color w:val="000000" w:themeColor="text1"/>
                <w:sz w:val="22"/>
                <w:szCs w:val="22"/>
              </w:rPr>
              <w:t>44</w:t>
            </w:r>
            <w:r w:rsidRPr="00384BA8">
              <w:rPr>
                <w:color w:val="000000" w:themeColor="text1"/>
                <w:sz w:val="22"/>
                <w:szCs w:val="22"/>
              </w:rPr>
              <w:t>%</w:t>
            </w:r>
          </w:p>
        </w:tc>
        <w:tc>
          <w:tcPr>
            <w:tcW w:w="990" w:type="dxa"/>
            <w:shd w:val="clear" w:color="auto" w:fill="FFFF00"/>
            <w:noWrap/>
            <w:vAlign w:val="center"/>
            <w:hideMark/>
          </w:tcPr>
          <w:p w14:paraId="5516FD7F" w14:textId="2162D441" w:rsidR="00AD214B" w:rsidRPr="00384BA8" w:rsidRDefault="6B4239E0" w:rsidP="00643301">
            <w:pPr>
              <w:keepNext/>
              <w:jc w:val="center"/>
              <w:rPr>
                <w:color w:val="000000"/>
                <w:sz w:val="22"/>
                <w:szCs w:val="22"/>
              </w:rPr>
            </w:pPr>
            <w:r w:rsidRPr="00384BA8">
              <w:rPr>
                <w:color w:val="000000" w:themeColor="text1"/>
                <w:sz w:val="22"/>
                <w:szCs w:val="22"/>
              </w:rPr>
              <w:t>1.</w:t>
            </w:r>
            <w:r w:rsidR="69495A1B" w:rsidRPr="00384BA8">
              <w:rPr>
                <w:color w:val="000000" w:themeColor="text1"/>
                <w:sz w:val="22"/>
                <w:szCs w:val="22"/>
              </w:rPr>
              <w:t>22</w:t>
            </w:r>
            <w:r w:rsidRPr="00384BA8">
              <w:rPr>
                <w:color w:val="000000" w:themeColor="text1"/>
                <w:sz w:val="22"/>
                <w:szCs w:val="22"/>
              </w:rPr>
              <w:t>%</w:t>
            </w:r>
          </w:p>
        </w:tc>
        <w:tc>
          <w:tcPr>
            <w:tcW w:w="1080" w:type="dxa"/>
            <w:shd w:val="clear" w:color="auto" w:fill="auto"/>
            <w:noWrap/>
            <w:vAlign w:val="center"/>
            <w:hideMark/>
          </w:tcPr>
          <w:p w14:paraId="6E07DFF4" w14:textId="694FD706" w:rsidR="00AD214B" w:rsidRPr="00384BA8" w:rsidRDefault="7CBE331C" w:rsidP="00643301">
            <w:pPr>
              <w:keepNext/>
              <w:jc w:val="center"/>
              <w:rPr>
                <w:color w:val="000000"/>
                <w:sz w:val="22"/>
                <w:szCs w:val="22"/>
              </w:rPr>
            </w:pPr>
            <w:r w:rsidRPr="00384BA8">
              <w:rPr>
                <w:color w:val="000000" w:themeColor="text1"/>
                <w:sz w:val="22"/>
                <w:szCs w:val="22"/>
              </w:rPr>
              <w:t>4.662</w:t>
            </w:r>
            <w:r w:rsidR="6B4239E0" w:rsidRPr="00384BA8">
              <w:rPr>
                <w:color w:val="000000" w:themeColor="text1"/>
                <w:sz w:val="22"/>
                <w:szCs w:val="22"/>
              </w:rPr>
              <w:t>%</w:t>
            </w:r>
          </w:p>
        </w:tc>
      </w:tr>
      <w:tr w:rsidR="00D949E5" w:rsidRPr="001C6BFC" w14:paraId="6D762707" w14:textId="77777777" w:rsidTr="008B5E62">
        <w:trPr>
          <w:trHeight w:val="567"/>
        </w:trPr>
        <w:tc>
          <w:tcPr>
            <w:tcW w:w="8904" w:type="dxa"/>
            <w:gridSpan w:val="9"/>
            <w:shd w:val="clear" w:color="auto" w:fill="auto"/>
            <w:noWrap/>
            <w:vAlign w:val="center"/>
          </w:tcPr>
          <w:p w14:paraId="4D52683F" w14:textId="61435DCF" w:rsidR="00D949E5" w:rsidRPr="00D949E5" w:rsidRDefault="00D949E5" w:rsidP="00D949E5">
            <w:pPr>
              <w:snapToGrid w:val="0"/>
              <w:rPr>
                <w:i/>
                <w:iCs/>
                <w:sz w:val="20"/>
                <w:lang w:eastAsia="x-none"/>
              </w:rPr>
            </w:pPr>
            <w:r>
              <w:rPr>
                <w:i/>
                <w:iCs/>
                <w:sz w:val="20"/>
              </w:rPr>
              <w:t xml:space="preserve">CenterPoint Houston’s issuer rating </w:t>
            </w:r>
            <w:r w:rsidR="00EA36C7">
              <w:rPr>
                <w:i/>
                <w:iCs/>
                <w:sz w:val="20"/>
              </w:rPr>
              <w:t>is</w:t>
            </w:r>
            <w:r w:rsidR="0095396C">
              <w:rPr>
                <w:i/>
                <w:iCs/>
                <w:sz w:val="20"/>
              </w:rPr>
              <w:t xml:space="preserve"> </w:t>
            </w:r>
            <w:r w:rsidR="00604A37">
              <w:rPr>
                <w:i/>
                <w:iCs/>
                <w:sz w:val="20"/>
              </w:rPr>
              <w:t xml:space="preserve">Baa1 </w:t>
            </w:r>
            <w:r w:rsidR="00F16344">
              <w:rPr>
                <w:i/>
                <w:iCs/>
                <w:sz w:val="20"/>
              </w:rPr>
              <w:t>at Moody’s</w:t>
            </w:r>
            <w:r w:rsidR="00EA36C7">
              <w:rPr>
                <w:i/>
                <w:iCs/>
                <w:sz w:val="20"/>
              </w:rPr>
              <w:t>, while t</w:t>
            </w:r>
            <w:r w:rsidR="00604A37">
              <w:rPr>
                <w:i/>
                <w:iCs/>
                <w:sz w:val="20"/>
              </w:rPr>
              <w:t>he</w:t>
            </w:r>
            <w:r w:rsidDel="00604A37">
              <w:rPr>
                <w:i/>
                <w:iCs/>
                <w:sz w:val="20"/>
              </w:rPr>
              <w:t xml:space="preserve"> </w:t>
            </w:r>
            <w:r>
              <w:rPr>
                <w:i/>
                <w:iCs/>
                <w:sz w:val="20"/>
              </w:rPr>
              <w:t xml:space="preserve">senior </w:t>
            </w:r>
            <w:r w:rsidR="00F16344">
              <w:rPr>
                <w:i/>
                <w:iCs/>
                <w:sz w:val="20"/>
              </w:rPr>
              <w:t xml:space="preserve">secured rating is A2 and the </w:t>
            </w:r>
            <w:r>
              <w:rPr>
                <w:i/>
                <w:iCs/>
                <w:sz w:val="20"/>
              </w:rPr>
              <w:t>senior unsecured rating is Baa1</w:t>
            </w:r>
            <w:r w:rsidR="00F16344">
              <w:rPr>
                <w:i/>
                <w:iCs/>
                <w:sz w:val="20"/>
              </w:rPr>
              <w:t>.</w:t>
            </w:r>
            <w:r>
              <w:rPr>
                <w:i/>
                <w:iCs/>
                <w:sz w:val="20"/>
              </w:rPr>
              <w:t xml:space="preserve"> </w:t>
            </w:r>
          </w:p>
        </w:tc>
      </w:tr>
    </w:tbl>
    <w:p w14:paraId="3758D2EC" w14:textId="404E160A" w:rsidR="002120C4" w:rsidRPr="009F0A90" w:rsidRDefault="006E451D" w:rsidP="000431DD">
      <w:pPr>
        <w:pStyle w:val="CRQuestion"/>
        <w:spacing w:before="240"/>
      </w:pPr>
      <w:r>
        <w:t>Q.</w:t>
      </w:r>
      <w:r>
        <w:tab/>
      </w:r>
      <w:r w:rsidR="002120C4" w:rsidRPr="009F0A90">
        <w:t xml:space="preserve">DOES </w:t>
      </w:r>
      <w:r w:rsidR="008D563D">
        <w:t>A</w:t>
      </w:r>
      <w:r w:rsidR="002120C4" w:rsidRPr="009F0A90">
        <w:t xml:space="preserve"> UTILITY’S CREDIT RATING ALSO AFFECT ITS COST OF EQUITY? </w:t>
      </w:r>
    </w:p>
    <w:p w14:paraId="5DEA99BF" w14:textId="77777777" w:rsidR="008B5E62" w:rsidRPr="0064650D" w:rsidRDefault="002120C4" w:rsidP="00BE19A7">
      <w:pPr>
        <w:pStyle w:val="CRAnswer"/>
        <w:rPr>
          <w:lang w:eastAsia="x-none"/>
        </w:rPr>
      </w:pPr>
      <w:r w:rsidRPr="008B5E62">
        <w:rPr>
          <w:lang w:val="x-none" w:eastAsia="x-none"/>
        </w:rPr>
        <w:t>A.</w:t>
      </w:r>
      <w:r w:rsidRPr="009F0A90">
        <w:rPr>
          <w:lang w:val="x-none" w:eastAsia="x-none"/>
        </w:rPr>
        <w:tab/>
      </w:r>
      <w:r w:rsidRPr="00EA2F11">
        <w:rPr>
          <w:rFonts w:eastAsia="Times New Roman"/>
          <w:szCs w:val="20"/>
        </w:rPr>
        <w:t xml:space="preserve">Yes.  </w:t>
      </w:r>
      <w:r w:rsidR="006E451D" w:rsidRPr="00EA2F11">
        <w:rPr>
          <w:rFonts w:eastAsia="Times New Roman"/>
          <w:szCs w:val="20"/>
        </w:rPr>
        <w:t xml:space="preserve">Since debt is senior in ranking to equity, bondholders get paid before other security holders. </w:t>
      </w:r>
      <w:r w:rsidR="00F53B0A" w:rsidRPr="00EA2F11">
        <w:rPr>
          <w:rFonts w:eastAsia="Times New Roman"/>
          <w:szCs w:val="20"/>
        </w:rPr>
        <w:t xml:space="preserve"> </w:t>
      </w:r>
      <w:r w:rsidRPr="00EA2F11">
        <w:rPr>
          <w:rFonts w:eastAsia="Times New Roman"/>
          <w:szCs w:val="20"/>
        </w:rPr>
        <w:t>A</w:t>
      </w:r>
      <w:r w:rsidR="009A3ABF" w:rsidRPr="00EA2F11">
        <w:rPr>
          <w:rFonts w:eastAsia="Times New Roman"/>
          <w:szCs w:val="20"/>
        </w:rPr>
        <w:t xml:space="preserve"> common</w:t>
      </w:r>
      <w:r w:rsidRPr="00EA2F11">
        <w:rPr>
          <w:rFonts w:eastAsia="Times New Roman"/>
          <w:szCs w:val="20"/>
        </w:rPr>
        <w:t xml:space="preserve"> equity </w:t>
      </w:r>
      <w:r w:rsidR="006E451D" w:rsidRPr="00EA2F11">
        <w:rPr>
          <w:rFonts w:eastAsia="Times New Roman"/>
          <w:szCs w:val="20"/>
        </w:rPr>
        <w:t xml:space="preserve">security is </w:t>
      </w:r>
      <w:r w:rsidR="009A3ABF" w:rsidRPr="00EA2F11">
        <w:rPr>
          <w:rFonts w:eastAsia="Times New Roman"/>
          <w:szCs w:val="20"/>
        </w:rPr>
        <w:t xml:space="preserve">seen as </w:t>
      </w:r>
      <w:r w:rsidR="006E451D" w:rsidRPr="00EA2F11">
        <w:rPr>
          <w:rFonts w:eastAsia="Times New Roman"/>
          <w:szCs w:val="20"/>
        </w:rPr>
        <w:t xml:space="preserve">the </w:t>
      </w:r>
      <w:r w:rsidR="009A3ABF" w:rsidRPr="00EA2F11">
        <w:rPr>
          <w:rFonts w:eastAsia="Times New Roman"/>
          <w:szCs w:val="20"/>
        </w:rPr>
        <w:t>most junior ranking</w:t>
      </w:r>
      <w:r w:rsidR="006E451D" w:rsidRPr="00EA2F11">
        <w:rPr>
          <w:rFonts w:eastAsia="Times New Roman"/>
          <w:szCs w:val="20"/>
        </w:rPr>
        <w:t xml:space="preserve"> security on a company’s capital structure and an equity </w:t>
      </w:r>
      <w:r w:rsidRPr="00EA2F11">
        <w:rPr>
          <w:rFonts w:eastAsia="Times New Roman"/>
          <w:szCs w:val="20"/>
        </w:rPr>
        <w:t>investor</w:t>
      </w:r>
      <w:r w:rsidR="006E451D" w:rsidRPr="00EA2F11">
        <w:rPr>
          <w:rFonts w:eastAsia="Times New Roman"/>
          <w:szCs w:val="20"/>
        </w:rPr>
        <w:t>’s</w:t>
      </w:r>
      <w:r w:rsidRPr="00EA2F11">
        <w:rPr>
          <w:rFonts w:eastAsia="Times New Roman"/>
          <w:szCs w:val="20"/>
        </w:rPr>
        <w:t xml:space="preserve"> return is residual, meaning that equity investors receive their return after the bond investors.  A lower credit rating</w:t>
      </w:r>
      <w:r w:rsidR="009A3ABF" w:rsidRPr="00EA2F11">
        <w:rPr>
          <w:rFonts w:eastAsia="Times New Roman"/>
          <w:szCs w:val="20"/>
        </w:rPr>
        <w:t>, as previously described,</w:t>
      </w:r>
      <w:r w:rsidRPr="00EA2F11">
        <w:rPr>
          <w:rFonts w:eastAsia="Times New Roman"/>
          <w:szCs w:val="20"/>
        </w:rPr>
        <w:t xml:space="preserve"> results in greater risk</w:t>
      </w:r>
      <w:r w:rsidR="00CA76CE" w:rsidRPr="00EA2F11">
        <w:rPr>
          <w:rFonts w:eastAsia="Times New Roman"/>
          <w:szCs w:val="20"/>
        </w:rPr>
        <w:t>,</w:t>
      </w:r>
      <w:r w:rsidRPr="00EA2F11">
        <w:rPr>
          <w:rFonts w:eastAsia="Times New Roman"/>
          <w:szCs w:val="20"/>
        </w:rPr>
        <w:t xml:space="preserve"> </w:t>
      </w:r>
      <w:r w:rsidR="009A3ABF" w:rsidRPr="00EA2F11">
        <w:rPr>
          <w:rFonts w:eastAsia="Times New Roman"/>
          <w:szCs w:val="20"/>
        </w:rPr>
        <w:t xml:space="preserve">which translates to a higher cost of debt. </w:t>
      </w:r>
      <w:r w:rsidR="00F53B0A" w:rsidRPr="00EA2F11">
        <w:rPr>
          <w:rFonts w:eastAsia="Times New Roman"/>
          <w:szCs w:val="20"/>
        </w:rPr>
        <w:t xml:space="preserve"> </w:t>
      </w:r>
      <w:r w:rsidR="009A3ABF" w:rsidRPr="00EA2F11">
        <w:rPr>
          <w:rFonts w:eastAsia="Times New Roman"/>
          <w:szCs w:val="20"/>
        </w:rPr>
        <w:t xml:space="preserve">That increased relative cost of debt impacts </w:t>
      </w:r>
      <w:r w:rsidRPr="00EA2F11">
        <w:rPr>
          <w:rFonts w:eastAsia="Times New Roman"/>
          <w:szCs w:val="20"/>
        </w:rPr>
        <w:t>both the bond and equity investor</w:t>
      </w:r>
      <w:r w:rsidR="005D5AE8" w:rsidRPr="00EA2F11">
        <w:rPr>
          <w:rFonts w:eastAsia="Times New Roman"/>
          <w:szCs w:val="20"/>
        </w:rPr>
        <w:t xml:space="preserve">s, and those </w:t>
      </w:r>
      <w:r w:rsidR="009A3ABF" w:rsidRPr="00EA2F11">
        <w:rPr>
          <w:rFonts w:eastAsia="Times New Roman"/>
          <w:szCs w:val="20"/>
        </w:rPr>
        <w:t xml:space="preserve">equity </w:t>
      </w:r>
      <w:r w:rsidR="005D5AE8" w:rsidRPr="00EA2F11">
        <w:rPr>
          <w:rFonts w:eastAsia="Times New Roman"/>
          <w:szCs w:val="20"/>
        </w:rPr>
        <w:t>investors require</w:t>
      </w:r>
      <w:r w:rsidRPr="00EA2F11">
        <w:rPr>
          <w:rFonts w:eastAsia="Times New Roman"/>
          <w:szCs w:val="20"/>
        </w:rPr>
        <w:t xml:space="preserve"> higher returns to be compensated for the additional risk</w:t>
      </w:r>
      <w:r w:rsidRPr="0064650D">
        <w:rPr>
          <w:lang w:eastAsia="x-none"/>
        </w:rPr>
        <w:t xml:space="preserve">. </w:t>
      </w:r>
    </w:p>
    <w:p w14:paraId="0FF42CAC" w14:textId="20E074B9" w:rsidR="009F0A90" w:rsidRPr="009F0A90" w:rsidRDefault="009F0A90" w:rsidP="00C44E76">
      <w:pPr>
        <w:pStyle w:val="CRQuestion"/>
      </w:pPr>
      <w:r w:rsidRPr="009F0A90">
        <w:t>Q.</w:t>
      </w:r>
      <w:r w:rsidRPr="009F0A90">
        <w:tab/>
      </w:r>
      <w:r w:rsidR="0067482D">
        <w:t xml:space="preserve">WHY </w:t>
      </w:r>
      <w:r w:rsidRPr="009F0A90">
        <w:t xml:space="preserve">IS IT IMPORTANT FOR </w:t>
      </w:r>
      <w:r w:rsidR="002E6451">
        <w:t>CENTERPOINT HOUSTON</w:t>
      </w:r>
      <w:r w:rsidRPr="009F0A90">
        <w:t xml:space="preserve"> TO MAINTAIN </w:t>
      </w:r>
      <w:r w:rsidR="0018497E">
        <w:t xml:space="preserve">OR IMPROVE </w:t>
      </w:r>
      <w:r w:rsidRPr="009F0A90">
        <w:t xml:space="preserve">ITS </w:t>
      </w:r>
      <w:r w:rsidR="0018497E">
        <w:t>CREDITWORTHINESS</w:t>
      </w:r>
      <w:r w:rsidRPr="009F0A90">
        <w:t xml:space="preserve"> GOING FORWARD? </w:t>
      </w:r>
    </w:p>
    <w:p w14:paraId="256271D7" w14:textId="43670906" w:rsidR="009F0A90" w:rsidRPr="009F0A90" w:rsidRDefault="009F0A90" w:rsidP="00BE19A7">
      <w:pPr>
        <w:pStyle w:val="CRAnswer"/>
      </w:pPr>
      <w:r w:rsidRPr="009F0A90">
        <w:t>A.</w:t>
      </w:r>
      <w:r w:rsidRPr="009F0A90">
        <w:tab/>
        <w:t xml:space="preserve">It is </w:t>
      </w:r>
      <w:r w:rsidR="0018497E">
        <w:t xml:space="preserve">very </w:t>
      </w:r>
      <w:r w:rsidRPr="009F0A90">
        <w:t xml:space="preserve">important for </w:t>
      </w:r>
      <w:r w:rsidR="002B1A1A">
        <w:t>CenterPoint Houston</w:t>
      </w:r>
      <w:r w:rsidRPr="009F0A90">
        <w:t xml:space="preserve"> to maintain </w:t>
      </w:r>
      <w:r w:rsidR="002B1A1A">
        <w:t>its</w:t>
      </w:r>
      <w:r w:rsidRPr="009F0A90">
        <w:t xml:space="preserve"> financial </w:t>
      </w:r>
      <w:r w:rsidR="002B1A1A">
        <w:t>integrity</w:t>
      </w:r>
      <w:r w:rsidRPr="009F0A90">
        <w:t xml:space="preserve"> because </w:t>
      </w:r>
      <w:r w:rsidR="002B1A1A">
        <w:t xml:space="preserve">the </w:t>
      </w:r>
      <w:r w:rsidR="00C75863">
        <w:t>C</w:t>
      </w:r>
      <w:r w:rsidR="002B1A1A">
        <w:t>ompany</w:t>
      </w:r>
      <w:r w:rsidR="002E6451">
        <w:t xml:space="preserve"> </w:t>
      </w:r>
      <w:r w:rsidRPr="009F0A90">
        <w:t xml:space="preserve">plans to spend </w:t>
      </w:r>
      <w:r w:rsidR="00ED4B86">
        <w:t>nearly $13 billion over the next five years</w:t>
      </w:r>
      <w:r w:rsidRPr="009F0A90">
        <w:t xml:space="preserve"> in </w:t>
      </w:r>
      <w:r w:rsidRPr="009F0A90">
        <w:lastRenderedPageBreak/>
        <w:t xml:space="preserve">capital expenditures during the </w:t>
      </w:r>
      <w:r w:rsidR="00ED4B86">
        <w:t>2024</w:t>
      </w:r>
      <w:r w:rsidR="002555CC">
        <w:t>–</w:t>
      </w:r>
      <w:r w:rsidR="00ED4B86">
        <w:t>2028</w:t>
      </w:r>
      <w:r w:rsidR="002555CC">
        <w:t xml:space="preserve"> </w:t>
      </w:r>
      <w:r w:rsidRPr="009F0A90">
        <w:t>five-year period.</w:t>
      </w:r>
      <w:r w:rsidR="00F95970">
        <w:rPr>
          <w:rStyle w:val="FootnoteReference"/>
        </w:rPr>
        <w:footnoteReference w:id="8"/>
      </w:r>
      <w:r w:rsidR="00E62EDB">
        <w:t xml:space="preserve">  This capital is being invested to ensure </w:t>
      </w:r>
      <w:r w:rsidR="00CC25A3">
        <w:t>that CenterPoint Houston’s transmission and distribution</w:t>
      </w:r>
      <w:r w:rsidR="00E62EDB">
        <w:t xml:space="preserve"> system can meet </w:t>
      </w:r>
      <w:r w:rsidR="0018497E">
        <w:t>customer demands</w:t>
      </w:r>
      <w:r w:rsidR="00085D38">
        <w:t>,</w:t>
      </w:r>
      <w:r w:rsidR="0018497E">
        <w:t xml:space="preserve"> including </w:t>
      </w:r>
      <w:r w:rsidR="00173C37">
        <w:t>load</w:t>
      </w:r>
      <w:r w:rsidR="0018497E">
        <w:t xml:space="preserve"> </w:t>
      </w:r>
      <w:r w:rsidR="00E62EDB">
        <w:t xml:space="preserve">growth </w:t>
      </w:r>
      <w:r w:rsidR="0018497E">
        <w:t xml:space="preserve">in our service territory as well as further </w:t>
      </w:r>
      <w:r w:rsidR="000F238C">
        <w:t>investments in safety,</w:t>
      </w:r>
      <w:r w:rsidR="00E62EDB">
        <w:t xml:space="preserve"> resilie</w:t>
      </w:r>
      <w:r w:rsidR="000F238C">
        <w:t>ncy</w:t>
      </w:r>
      <w:r w:rsidR="00E62EDB">
        <w:t xml:space="preserve"> and reliab</w:t>
      </w:r>
      <w:r w:rsidR="000F238C">
        <w:t>ility</w:t>
      </w:r>
      <w:r w:rsidR="00E62EDB">
        <w:t xml:space="preserve">.  </w:t>
      </w:r>
      <w:r w:rsidR="002E6451">
        <w:t>CenterPoint Houston</w:t>
      </w:r>
      <w:r w:rsidRPr="009F0A90">
        <w:t xml:space="preserve"> will require </w:t>
      </w:r>
      <w:r w:rsidR="00526C74">
        <w:t xml:space="preserve">both internal and </w:t>
      </w:r>
      <w:r w:rsidRPr="009F0A90">
        <w:t xml:space="preserve">external funds to finance these expenditures, and maintaining </w:t>
      </w:r>
      <w:r w:rsidR="002B1A1A">
        <w:t>its</w:t>
      </w:r>
      <w:r w:rsidRPr="009F0A90">
        <w:t xml:space="preserve"> financial health will enable </w:t>
      </w:r>
      <w:r w:rsidR="002B1A1A">
        <w:t>it</w:t>
      </w:r>
      <w:r w:rsidRPr="009F0A90">
        <w:t xml:space="preserve"> to continue to access capital markets on favorable terms relative to market conditions.</w:t>
      </w:r>
      <w:r w:rsidR="000F238C">
        <w:t xml:space="preserve"> These sources of funding include internally generated cash flows, equity infusions from our parent company, and externally issued debt</w:t>
      </w:r>
      <w:r w:rsidR="007908ED">
        <w:t xml:space="preserve"> within the intended capital structure</w:t>
      </w:r>
      <w:r w:rsidR="000F238C">
        <w:t xml:space="preserve">. Having timely access to all three sources </w:t>
      </w:r>
      <w:r w:rsidR="00B05B08">
        <w:t>is</w:t>
      </w:r>
      <w:r w:rsidR="000F238C">
        <w:t xml:space="preserve"> essential</w:t>
      </w:r>
      <w:r w:rsidR="007908ED">
        <w:t>.</w:t>
      </w:r>
      <w:r w:rsidR="000F238C">
        <w:t xml:space="preserve"> </w:t>
      </w:r>
    </w:p>
    <w:p w14:paraId="090191ED" w14:textId="255BE1AE" w:rsidR="00D8337C" w:rsidRPr="00C813A9" w:rsidRDefault="00D8337C" w:rsidP="001C08D6">
      <w:pPr>
        <w:pStyle w:val="CRQuestion"/>
      </w:pPr>
      <w:r w:rsidRPr="50FC1313">
        <w:t xml:space="preserve">Q. </w:t>
      </w:r>
      <w:r>
        <w:tab/>
      </w:r>
      <w:r w:rsidRPr="50FC1313">
        <w:t>WHAT WOULD THE IMPACT OF A LOWER CREDIT RATING BE</w:t>
      </w:r>
      <w:r w:rsidR="009165FC" w:rsidRPr="50FC1313">
        <w:t xml:space="preserve"> TO </w:t>
      </w:r>
      <w:r w:rsidRPr="50FC1313">
        <w:t>CUSTOMER</w:t>
      </w:r>
      <w:r w:rsidR="00643301">
        <w:t>S</w:t>
      </w:r>
      <w:r w:rsidRPr="50FC1313">
        <w:t xml:space="preserve"> </w:t>
      </w:r>
      <w:r w:rsidR="00F5154E" w:rsidRPr="50FC1313">
        <w:t>OVER</w:t>
      </w:r>
      <w:r w:rsidRPr="50FC1313">
        <w:t xml:space="preserve"> T</w:t>
      </w:r>
      <w:r w:rsidR="009165FC" w:rsidRPr="50FC1313">
        <w:t>HE</w:t>
      </w:r>
      <w:r w:rsidRPr="50FC1313">
        <w:t xml:space="preserve"> </w:t>
      </w:r>
      <w:r w:rsidR="3577FE25" w:rsidRPr="50FC1313">
        <w:rPr>
          <w:bCs/>
        </w:rPr>
        <w:t>FIVE-YEAR</w:t>
      </w:r>
      <w:r w:rsidRPr="50FC1313">
        <w:t xml:space="preserve"> INVESTMENT</w:t>
      </w:r>
      <w:r w:rsidR="00F5154E" w:rsidRPr="50FC1313">
        <w:t xml:space="preserve"> HORIZON</w:t>
      </w:r>
      <w:r w:rsidRPr="50FC1313">
        <w:t>?</w:t>
      </w:r>
      <w:r w:rsidR="009F0A90">
        <w:tab/>
      </w:r>
    </w:p>
    <w:p w14:paraId="5700E638" w14:textId="5E589753" w:rsidR="009165FC" w:rsidRDefault="00D8337C" w:rsidP="001C08D6">
      <w:pPr>
        <w:pStyle w:val="CRAnswer"/>
      </w:pPr>
      <w:r>
        <w:t>A.</w:t>
      </w:r>
      <w:r w:rsidR="001C08D6">
        <w:tab/>
      </w:r>
      <w:r w:rsidR="000660CC">
        <w:t xml:space="preserve">Having </w:t>
      </w:r>
      <w:r w:rsidR="002043DE">
        <w:t xml:space="preserve">a </w:t>
      </w:r>
      <w:r w:rsidR="000660CC">
        <w:t>high quality</w:t>
      </w:r>
      <w:r w:rsidR="00112F36">
        <w:t xml:space="preserve"> secure debt</w:t>
      </w:r>
      <w:r w:rsidR="002043DE">
        <w:t xml:space="preserve"> </w:t>
      </w:r>
      <w:r w:rsidR="00112F36">
        <w:t xml:space="preserve">rating </w:t>
      </w:r>
      <w:r w:rsidR="002043DE">
        <w:t>is important for CenterPoint Houston</w:t>
      </w:r>
      <w:r w:rsidR="003964A9">
        <w:t xml:space="preserve"> and its customers</w:t>
      </w:r>
      <w:r w:rsidR="002043DE">
        <w:t xml:space="preserve">. </w:t>
      </w:r>
      <w:r w:rsidR="001C08D6">
        <w:t xml:space="preserve"> </w:t>
      </w:r>
      <w:r w:rsidR="002043DE">
        <w:t>As</w:t>
      </w:r>
      <w:r w:rsidR="002043DE" w:rsidDel="00D10009">
        <w:t xml:space="preserve"> </w:t>
      </w:r>
      <w:r w:rsidR="00D10009">
        <w:t xml:space="preserve">illustrated </w:t>
      </w:r>
      <w:r w:rsidR="00F80ED1">
        <w:t xml:space="preserve">in </w:t>
      </w:r>
      <w:r w:rsidR="000660CC">
        <w:t xml:space="preserve">the prior </w:t>
      </w:r>
      <w:r w:rsidR="00643301">
        <w:t>T</w:t>
      </w:r>
      <w:r w:rsidR="00F80ED1">
        <w:t xml:space="preserve">able </w:t>
      </w:r>
      <w:r w:rsidR="002520E1">
        <w:t>JRichert</w:t>
      </w:r>
      <w:r w:rsidR="00FC6EFA">
        <w:t>-</w:t>
      </w:r>
      <w:r w:rsidR="00DA218B">
        <w:t>4</w:t>
      </w:r>
      <w:r w:rsidR="002043DE">
        <w:t>, a</w:t>
      </w:r>
      <w:r w:rsidR="00550442">
        <w:t>n</w:t>
      </w:r>
      <w:r w:rsidR="002043DE" w:rsidDel="00550442">
        <w:t xml:space="preserve"> </w:t>
      </w:r>
      <w:r w:rsidR="002043DE">
        <w:t>A</w:t>
      </w:r>
      <w:r w:rsidR="00550442">
        <w:t xml:space="preserve">2 rating </w:t>
      </w:r>
      <w:r w:rsidR="00925114">
        <w:t xml:space="preserve">can </w:t>
      </w:r>
      <w:r w:rsidR="00F80ED1">
        <w:t>result in</w:t>
      </w:r>
      <w:r w:rsidR="00112F36">
        <w:t xml:space="preserve"> </w:t>
      </w:r>
      <w:r w:rsidR="008D6299">
        <w:t xml:space="preserve">a higher cost </w:t>
      </w:r>
      <w:r w:rsidR="00687221">
        <w:t xml:space="preserve">than an A1 rating. </w:t>
      </w:r>
      <w:r w:rsidR="000679FF">
        <w:t>The impact of a</w:t>
      </w:r>
      <w:r w:rsidR="007D3F73">
        <w:t>n even</w:t>
      </w:r>
      <w:r w:rsidR="000679FF">
        <w:t xml:space="preserve"> lower credit rating would be incremental</w:t>
      </w:r>
      <w:r w:rsidR="00643301">
        <w:t>ly</w:t>
      </w:r>
      <w:r w:rsidR="000679FF">
        <w:t xml:space="preserve"> more expensive for our customers. </w:t>
      </w:r>
      <w:r w:rsidR="00BE19A7">
        <w:t xml:space="preserve"> </w:t>
      </w:r>
      <w:r w:rsidR="002043DE">
        <w:t>For example</w:t>
      </w:r>
      <w:r w:rsidR="00936159">
        <w:t xml:space="preserve"> (see Table </w:t>
      </w:r>
      <w:r w:rsidR="002520E1">
        <w:t>JRichert</w:t>
      </w:r>
      <w:r w:rsidR="00936159">
        <w:t>-5 below)</w:t>
      </w:r>
      <w:r w:rsidR="002043DE">
        <w:t xml:space="preserve">, when comparing the </w:t>
      </w:r>
      <w:r w:rsidR="00313FC5">
        <w:t>A-</w:t>
      </w:r>
      <w:r w:rsidR="009165FC">
        <w:t xml:space="preserve">rated </w:t>
      </w:r>
      <w:r w:rsidR="002043DE">
        <w:t>v</w:t>
      </w:r>
      <w:r w:rsidR="00643301">
        <w:t>ersus</w:t>
      </w:r>
      <w:r w:rsidR="002043DE">
        <w:t xml:space="preserve"> BBB corporate index effective yields </w:t>
      </w:r>
      <w:r w:rsidR="007D3F73">
        <w:t>over a 12</w:t>
      </w:r>
      <w:r w:rsidR="002043DE">
        <w:t xml:space="preserve"> month</w:t>
      </w:r>
      <w:r w:rsidR="007D3F73">
        <w:t xml:space="preserve"> period</w:t>
      </w:r>
      <w:r w:rsidR="002043DE">
        <w:t xml:space="preserve"> </w:t>
      </w:r>
      <w:r w:rsidR="003964A9">
        <w:t>(</w:t>
      </w:r>
      <w:r w:rsidR="002043DE">
        <w:t xml:space="preserve">as reported </w:t>
      </w:r>
      <w:r w:rsidR="003964A9">
        <w:t>from the Federal Reserve Economic data), the yield</w:t>
      </w:r>
      <w:r w:rsidR="00F5154E">
        <w:t>s</w:t>
      </w:r>
      <w:r w:rsidR="003964A9">
        <w:t xml:space="preserve"> for BBB ratings averaged 0.46% higher than the A rated yields over that period. </w:t>
      </w:r>
    </w:p>
    <w:p w14:paraId="552D1740" w14:textId="1EC9ACAA" w:rsidR="009165FC" w:rsidRPr="000D2CEB" w:rsidRDefault="007D3F73" w:rsidP="007578CB">
      <w:pPr>
        <w:keepNext/>
        <w:keepLines/>
        <w:widowControl w:val="0"/>
        <w:suppressLineNumbers/>
        <w:spacing w:after="120"/>
        <w:jc w:val="center"/>
        <w:rPr>
          <w:b/>
        </w:rPr>
      </w:pPr>
      <w:r>
        <w:rPr>
          <w:b/>
          <w:szCs w:val="24"/>
        </w:rPr>
        <w:lastRenderedPageBreak/>
        <w:tab/>
      </w:r>
      <w:r w:rsidR="009165FC" w:rsidRPr="0160DE5F">
        <w:rPr>
          <w:b/>
        </w:rPr>
        <w:t xml:space="preserve">Table </w:t>
      </w:r>
      <w:r w:rsidR="002520E1">
        <w:rPr>
          <w:b/>
        </w:rPr>
        <w:t>JRichert</w:t>
      </w:r>
      <w:r w:rsidR="00AA5137">
        <w:rPr>
          <w:b/>
        </w:rPr>
        <w:t>-</w:t>
      </w:r>
      <w:r w:rsidR="00DA218B">
        <w:rPr>
          <w:b/>
        </w:rPr>
        <w:t>5</w:t>
      </w:r>
      <w:r w:rsidR="009165FC" w:rsidRPr="0160DE5F">
        <w:rPr>
          <w:b/>
        </w:rPr>
        <w:t>.  Federal Reserve Economic Data for US Corporate Index Effective Yield</w:t>
      </w:r>
    </w:p>
    <w:tbl>
      <w:tblPr>
        <w:tblW w:w="7920" w:type="dxa"/>
        <w:tblInd w:w="715" w:type="dxa"/>
        <w:tblCellMar>
          <w:left w:w="58" w:type="dxa"/>
          <w:right w:w="58" w:type="dxa"/>
        </w:tblCellMar>
        <w:tblLook w:val="04A0" w:firstRow="1" w:lastRow="0" w:firstColumn="1" w:lastColumn="0" w:noHBand="0" w:noVBand="1"/>
      </w:tblPr>
      <w:tblGrid>
        <w:gridCol w:w="3780"/>
        <w:gridCol w:w="1080"/>
        <w:gridCol w:w="810"/>
        <w:gridCol w:w="2250"/>
      </w:tblGrid>
      <w:tr w:rsidR="000D2CEB" w:rsidRPr="009165FC" w14:paraId="572EFA33" w14:textId="77777777" w:rsidTr="000D2CEB">
        <w:trPr>
          <w:trHeight w:val="255"/>
        </w:trPr>
        <w:tc>
          <w:tcPr>
            <w:tcW w:w="3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E1D528" w14:textId="27B5C9CA" w:rsidR="009165FC" w:rsidRPr="000D2CEB" w:rsidRDefault="009165FC" w:rsidP="007578CB">
            <w:pPr>
              <w:keepNext/>
              <w:keepLines/>
              <w:jc w:val="center"/>
              <w:rPr>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BB3062" w14:textId="77777777" w:rsidR="009165FC" w:rsidRPr="000D2CEB" w:rsidRDefault="009165FC" w:rsidP="007578CB">
            <w:pPr>
              <w:keepNext/>
              <w:keepLines/>
              <w:jc w:val="center"/>
              <w:rPr>
                <w:b/>
                <w:bCs/>
                <w:szCs w:val="24"/>
              </w:rPr>
            </w:pPr>
            <w:r w:rsidRPr="000D2CEB">
              <w:rPr>
                <w:b/>
                <w:bCs/>
                <w:szCs w:val="24"/>
              </w:rPr>
              <w:t>BBB</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3BD2B3" w14:textId="77777777" w:rsidR="009165FC" w:rsidRPr="000D2CEB" w:rsidRDefault="009165FC" w:rsidP="007578CB">
            <w:pPr>
              <w:keepNext/>
              <w:keepLines/>
              <w:jc w:val="center"/>
              <w:rPr>
                <w:b/>
                <w:bCs/>
                <w:szCs w:val="24"/>
              </w:rPr>
            </w:pPr>
            <w:r w:rsidRPr="000D2CEB">
              <w:rPr>
                <w:b/>
                <w:bCs/>
                <w:szCs w:val="24"/>
              </w:rPr>
              <w:t>A</w:t>
            </w:r>
          </w:p>
        </w:tc>
        <w:tc>
          <w:tcPr>
            <w:tcW w:w="22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0F1895" w14:textId="422DC623" w:rsidR="009165FC" w:rsidRPr="000D2CEB" w:rsidRDefault="000D2CEB" w:rsidP="007578CB">
            <w:pPr>
              <w:keepNext/>
              <w:keepLines/>
              <w:jc w:val="center"/>
              <w:rPr>
                <w:b/>
                <w:bCs/>
                <w:szCs w:val="24"/>
              </w:rPr>
            </w:pPr>
            <w:r>
              <w:rPr>
                <w:b/>
                <w:bCs/>
                <w:szCs w:val="24"/>
              </w:rPr>
              <w:t>BBB to A Difference</w:t>
            </w:r>
          </w:p>
        </w:tc>
      </w:tr>
      <w:tr w:rsidR="000D2CEB" w:rsidRPr="009165FC" w14:paraId="27138C57" w14:textId="77777777" w:rsidTr="000D2CEB">
        <w:trPr>
          <w:trHeight w:val="255"/>
        </w:trPr>
        <w:tc>
          <w:tcPr>
            <w:tcW w:w="3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149D9" w14:textId="5200B74E" w:rsidR="009165FC" w:rsidRPr="000D2CEB" w:rsidRDefault="009165FC" w:rsidP="007578CB">
            <w:pPr>
              <w:keepLines/>
              <w:jc w:val="right"/>
              <w:rPr>
                <w:b/>
                <w:bCs/>
                <w:szCs w:val="24"/>
              </w:rPr>
            </w:pPr>
            <w:r w:rsidRPr="000D2CEB">
              <w:rPr>
                <w:szCs w:val="24"/>
              </w:rPr>
              <w:t>Av</w:t>
            </w:r>
            <w:r w:rsidR="000D2CEB">
              <w:rPr>
                <w:szCs w:val="24"/>
              </w:rPr>
              <w:t>erage</w:t>
            </w:r>
            <w:r w:rsidRPr="000D2CEB">
              <w:rPr>
                <w:szCs w:val="24"/>
              </w:rPr>
              <w:t xml:space="preserve"> Corporate Effective Yield </w:t>
            </w:r>
            <w:r w:rsidRPr="00384BA8">
              <w:rPr>
                <w:i/>
                <w:sz w:val="22"/>
                <w:szCs w:val="22"/>
              </w:rPr>
              <w:t>(12</w:t>
            </w:r>
            <w:r w:rsidR="000D2CEB" w:rsidRPr="00384BA8">
              <w:rPr>
                <w:i/>
                <w:sz w:val="22"/>
                <w:szCs w:val="22"/>
              </w:rPr>
              <w:t>-</w:t>
            </w:r>
            <w:r w:rsidRPr="00384BA8">
              <w:rPr>
                <w:i/>
                <w:sz w:val="22"/>
                <w:szCs w:val="22"/>
              </w:rPr>
              <w:t>mo</w:t>
            </w:r>
            <w:r w:rsidR="000D2CEB" w:rsidRPr="00384BA8">
              <w:rPr>
                <w:i/>
                <w:sz w:val="22"/>
                <w:szCs w:val="22"/>
              </w:rPr>
              <w:t>nth</w:t>
            </w:r>
            <w:r w:rsidRPr="00384BA8">
              <w:rPr>
                <w:i/>
                <w:sz w:val="22"/>
                <w:szCs w:val="22"/>
              </w:rPr>
              <w:t xml:space="preserve"> history)</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AE313" w14:textId="77777777" w:rsidR="009165FC" w:rsidRPr="000D2CEB" w:rsidRDefault="009165FC" w:rsidP="007578CB">
            <w:pPr>
              <w:keepLines/>
              <w:jc w:val="center"/>
              <w:rPr>
                <w:szCs w:val="24"/>
              </w:rPr>
            </w:pPr>
            <w:r w:rsidRPr="000D2CEB">
              <w:rPr>
                <w:szCs w:val="24"/>
              </w:rPr>
              <w:t>5.83%</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61031" w14:textId="77777777" w:rsidR="009165FC" w:rsidRPr="000D2CEB" w:rsidRDefault="009165FC" w:rsidP="007578CB">
            <w:pPr>
              <w:keepLines/>
              <w:jc w:val="center"/>
              <w:rPr>
                <w:szCs w:val="24"/>
              </w:rPr>
            </w:pPr>
            <w:r w:rsidRPr="000D2CEB">
              <w:rPr>
                <w:szCs w:val="24"/>
              </w:rPr>
              <w:t>5.37%</w:t>
            </w:r>
          </w:p>
        </w:tc>
        <w:tc>
          <w:tcPr>
            <w:tcW w:w="2250" w:type="dxa"/>
            <w:tcBorders>
              <w:top w:val="single" w:sz="4" w:space="0" w:color="auto"/>
              <w:left w:val="single" w:sz="4" w:space="0" w:color="auto"/>
              <w:bottom w:val="single" w:sz="4" w:space="0" w:color="auto"/>
              <w:right w:val="single" w:sz="4" w:space="0" w:color="auto"/>
            </w:tcBorders>
            <w:vAlign w:val="center"/>
          </w:tcPr>
          <w:p w14:paraId="24C7FBCC" w14:textId="6A29B14F" w:rsidR="009165FC" w:rsidRPr="000D2CEB" w:rsidRDefault="000D2CEB" w:rsidP="007578CB">
            <w:pPr>
              <w:keepLines/>
              <w:jc w:val="center"/>
              <w:rPr>
                <w:b/>
                <w:bCs/>
                <w:szCs w:val="24"/>
              </w:rPr>
            </w:pPr>
            <w:r w:rsidRPr="000D2CEB">
              <w:rPr>
                <w:b/>
                <w:bCs/>
                <w:szCs w:val="24"/>
              </w:rPr>
              <w:t>0.46%</w:t>
            </w:r>
          </w:p>
        </w:tc>
      </w:tr>
    </w:tbl>
    <w:p w14:paraId="1D30EBBF" w14:textId="1392F9E4" w:rsidR="009165FC" w:rsidRDefault="009165FC" w:rsidP="0040233B">
      <w:pPr>
        <w:pStyle w:val="CRAnswer"/>
        <w:spacing w:before="240"/>
      </w:pPr>
      <w:r>
        <w:tab/>
      </w:r>
      <w:r w:rsidR="003964A9">
        <w:t>For illustration</w:t>
      </w:r>
      <w:r w:rsidR="00936159">
        <w:t xml:space="preserve"> (Table </w:t>
      </w:r>
      <w:r w:rsidR="002520E1">
        <w:t>JRichert</w:t>
      </w:r>
      <w:r w:rsidR="00936159">
        <w:t>-6 below)</w:t>
      </w:r>
      <w:r w:rsidR="003964A9">
        <w:t xml:space="preserve">, if you </w:t>
      </w:r>
      <w:r>
        <w:t>apply</w:t>
      </w:r>
      <w:r w:rsidR="003964A9">
        <w:t xml:space="preserve"> that incremental </w:t>
      </w:r>
      <w:r w:rsidR="00F5154E">
        <w:t xml:space="preserve">0.46% </w:t>
      </w:r>
      <w:r w:rsidR="003964A9">
        <w:t xml:space="preserve">cost </w:t>
      </w:r>
      <w:r>
        <w:t xml:space="preserve">to the </w:t>
      </w:r>
      <w:r w:rsidR="003964A9">
        <w:t xml:space="preserve">55% debt funding needed to invest the </w:t>
      </w:r>
      <w:r w:rsidR="008D4364">
        <w:t xml:space="preserve">nearly </w:t>
      </w:r>
      <w:r w:rsidR="0040233B">
        <w:t>$</w:t>
      </w:r>
      <w:r w:rsidR="008D4364">
        <w:t>13</w:t>
      </w:r>
      <w:r w:rsidR="00BD0B61">
        <w:t xml:space="preserve"> billion</w:t>
      </w:r>
      <w:r w:rsidR="003964A9">
        <w:t xml:space="preserve"> estimated over a </w:t>
      </w:r>
      <w:r w:rsidR="00CB2BF0">
        <w:t>five-</w:t>
      </w:r>
      <w:r w:rsidR="003964A9">
        <w:t xml:space="preserve">year period, the </w:t>
      </w:r>
      <w:r w:rsidR="00F5154E">
        <w:t xml:space="preserve">result would </w:t>
      </w:r>
      <w:r w:rsidR="003964A9">
        <w:t>be</w:t>
      </w:r>
      <w:r w:rsidR="00F5154E">
        <w:t xml:space="preserve"> </w:t>
      </w:r>
      <w:r w:rsidR="003964A9">
        <w:t>an incremental $</w:t>
      </w:r>
      <w:r w:rsidR="00D2231B">
        <w:t xml:space="preserve">92 </w:t>
      </w:r>
      <w:r w:rsidR="00BD0B61">
        <w:t>million</w:t>
      </w:r>
      <w:r w:rsidR="003964A9">
        <w:t xml:space="preserve"> in cumulative interest expense</w:t>
      </w:r>
      <w:r w:rsidR="00F5154E">
        <w:t xml:space="preserve"> to our customers</w:t>
      </w:r>
      <w:r w:rsidR="00D2231B">
        <w:t xml:space="preserve"> over that five year period</w:t>
      </w:r>
      <w:r w:rsidR="003964A9">
        <w:t>.</w:t>
      </w:r>
      <w:r>
        <w:t xml:space="preserve"> </w:t>
      </w:r>
    </w:p>
    <w:p w14:paraId="4F63C804" w14:textId="65C20ADD" w:rsidR="00FC7793" w:rsidRDefault="009165FC" w:rsidP="00356DA5">
      <w:pPr>
        <w:keepNext/>
        <w:widowControl w:val="0"/>
        <w:suppressLineNumbers/>
        <w:spacing w:after="120"/>
        <w:ind w:left="810" w:hanging="90"/>
        <w:jc w:val="center"/>
        <w:rPr>
          <w:b/>
          <w:bCs/>
          <w:szCs w:val="24"/>
        </w:rPr>
      </w:pPr>
      <w:r w:rsidRPr="00BD0B61">
        <w:rPr>
          <w:b/>
          <w:szCs w:val="24"/>
        </w:rPr>
        <w:t xml:space="preserve">Table </w:t>
      </w:r>
      <w:r w:rsidR="002520E1">
        <w:rPr>
          <w:b/>
          <w:szCs w:val="24"/>
        </w:rPr>
        <w:t>JRichert</w:t>
      </w:r>
      <w:r w:rsidR="009450AE">
        <w:rPr>
          <w:b/>
          <w:szCs w:val="24"/>
        </w:rPr>
        <w:t>-</w:t>
      </w:r>
      <w:r w:rsidR="00DA218B">
        <w:rPr>
          <w:b/>
          <w:szCs w:val="24"/>
        </w:rPr>
        <w:t>6</w:t>
      </w:r>
      <w:r w:rsidRPr="00BD0B61">
        <w:rPr>
          <w:b/>
          <w:szCs w:val="24"/>
        </w:rPr>
        <w:t xml:space="preserve">.  Illustrative </w:t>
      </w:r>
      <w:r w:rsidR="00643301">
        <w:rPr>
          <w:b/>
          <w:szCs w:val="24"/>
        </w:rPr>
        <w:t>I</w:t>
      </w:r>
      <w:r w:rsidRPr="00BD0B61">
        <w:rPr>
          <w:b/>
          <w:szCs w:val="24"/>
        </w:rPr>
        <w:t xml:space="preserve">ncremental </w:t>
      </w:r>
      <w:r w:rsidR="00643301">
        <w:rPr>
          <w:b/>
          <w:szCs w:val="24"/>
        </w:rPr>
        <w:t>F</w:t>
      </w:r>
      <w:r w:rsidR="004215A5">
        <w:rPr>
          <w:b/>
          <w:szCs w:val="24"/>
        </w:rPr>
        <w:t>ive-</w:t>
      </w:r>
      <w:r w:rsidR="00643301">
        <w:rPr>
          <w:b/>
          <w:szCs w:val="24"/>
        </w:rPr>
        <w:t>Y</w:t>
      </w:r>
      <w:r w:rsidRPr="00BD0B61">
        <w:rPr>
          <w:b/>
          <w:szCs w:val="24"/>
        </w:rPr>
        <w:t xml:space="preserve">ear </w:t>
      </w:r>
      <w:r w:rsidR="00643301">
        <w:rPr>
          <w:b/>
          <w:szCs w:val="24"/>
        </w:rPr>
        <w:t>C</w:t>
      </w:r>
      <w:r w:rsidRPr="00BD0B61">
        <w:rPr>
          <w:b/>
          <w:szCs w:val="24"/>
        </w:rPr>
        <w:t>ost of BBB</w:t>
      </w:r>
      <w:r w:rsidR="36604435" w:rsidRPr="00BD0B61">
        <w:rPr>
          <w:b/>
          <w:bCs/>
          <w:szCs w:val="24"/>
        </w:rPr>
        <w:t xml:space="preserve"> </w:t>
      </w:r>
    </w:p>
    <w:p w14:paraId="26F70433" w14:textId="4FA03024" w:rsidR="009165FC" w:rsidRPr="00BD0B61" w:rsidRDefault="36604435" w:rsidP="009450AE">
      <w:pPr>
        <w:keepNext/>
        <w:widowControl w:val="0"/>
        <w:suppressLineNumbers/>
        <w:spacing w:after="120"/>
        <w:ind w:left="810" w:hanging="90"/>
        <w:jc w:val="center"/>
        <w:rPr>
          <w:b/>
          <w:szCs w:val="24"/>
        </w:rPr>
      </w:pPr>
      <w:r w:rsidRPr="00BD0B61">
        <w:rPr>
          <w:b/>
          <w:bCs/>
          <w:szCs w:val="24"/>
        </w:rPr>
        <w:t xml:space="preserve">(in </w:t>
      </w:r>
      <w:r w:rsidR="00643301">
        <w:rPr>
          <w:b/>
          <w:bCs/>
          <w:szCs w:val="24"/>
        </w:rPr>
        <w:t>M</w:t>
      </w:r>
      <w:r w:rsidRPr="00BD0B61">
        <w:rPr>
          <w:b/>
          <w:bCs/>
          <w:szCs w:val="24"/>
        </w:rPr>
        <w:t>illions)</w:t>
      </w:r>
    </w:p>
    <w:tbl>
      <w:tblPr>
        <w:tblW w:w="7920" w:type="dxa"/>
        <w:tblInd w:w="715" w:type="dxa"/>
        <w:tblLayout w:type="fixed"/>
        <w:tblCellMar>
          <w:left w:w="58" w:type="dxa"/>
          <w:right w:w="58" w:type="dxa"/>
        </w:tblCellMar>
        <w:tblLook w:val="04A0" w:firstRow="1" w:lastRow="0" w:firstColumn="1" w:lastColumn="0" w:noHBand="0" w:noVBand="1"/>
      </w:tblPr>
      <w:tblGrid>
        <w:gridCol w:w="2070"/>
        <w:gridCol w:w="1170"/>
        <w:gridCol w:w="1170"/>
        <w:gridCol w:w="1170"/>
        <w:gridCol w:w="1170"/>
        <w:gridCol w:w="1170"/>
      </w:tblGrid>
      <w:tr w:rsidR="00D451A0" w:rsidRPr="00BD0B61" w14:paraId="3F9FE1AD" w14:textId="77777777" w:rsidTr="0051159D">
        <w:trPr>
          <w:trHeight w:val="288"/>
          <w:tblHeader/>
        </w:trPr>
        <w:tc>
          <w:tcPr>
            <w:tcW w:w="2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0E965B8A" w14:textId="77777777" w:rsidR="009165FC" w:rsidRPr="006A2706" w:rsidRDefault="009165FC" w:rsidP="00EA2F11">
            <w:pPr>
              <w:keepNext/>
              <w:rPr>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39428870" w14:textId="74768D16" w:rsidR="009165FC" w:rsidRPr="006A2706" w:rsidRDefault="009165FC" w:rsidP="00EA2F11">
            <w:pPr>
              <w:keepNext/>
              <w:jc w:val="center"/>
              <w:rPr>
                <w:b/>
                <w:bCs/>
                <w:szCs w:val="24"/>
                <w:u w:val="single"/>
              </w:rPr>
            </w:pPr>
            <w:r w:rsidRPr="006A2706">
              <w:rPr>
                <w:b/>
                <w:bCs/>
                <w:szCs w:val="24"/>
                <w:u w:val="single"/>
              </w:rPr>
              <w:t>202</w:t>
            </w:r>
            <w:r w:rsidR="00336E5F">
              <w:rPr>
                <w:b/>
                <w:bCs/>
                <w:szCs w:val="24"/>
                <w:u w:val="single"/>
              </w:rPr>
              <w:t>4</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4878F938" w14:textId="030F6C8C" w:rsidR="009165FC" w:rsidRPr="006A2706" w:rsidRDefault="009165FC" w:rsidP="00EA2F11">
            <w:pPr>
              <w:keepNext/>
              <w:jc w:val="center"/>
              <w:rPr>
                <w:b/>
                <w:bCs/>
                <w:szCs w:val="24"/>
                <w:u w:val="single"/>
              </w:rPr>
            </w:pPr>
            <w:r w:rsidRPr="006A2706">
              <w:rPr>
                <w:b/>
                <w:bCs/>
                <w:szCs w:val="24"/>
                <w:u w:val="single"/>
              </w:rPr>
              <w:t>202</w:t>
            </w:r>
            <w:r w:rsidR="00C87EB7">
              <w:rPr>
                <w:b/>
                <w:bCs/>
                <w:szCs w:val="24"/>
                <w:u w:val="single"/>
              </w:rPr>
              <w:t>5</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63FDAC96" w14:textId="01C3EB8A" w:rsidR="009165FC" w:rsidRPr="006A2706" w:rsidRDefault="009165FC" w:rsidP="00EA2F11">
            <w:pPr>
              <w:keepNext/>
              <w:jc w:val="center"/>
              <w:rPr>
                <w:b/>
                <w:bCs/>
                <w:szCs w:val="24"/>
                <w:u w:val="single"/>
              </w:rPr>
            </w:pPr>
            <w:r w:rsidRPr="006A2706">
              <w:rPr>
                <w:b/>
                <w:bCs/>
                <w:szCs w:val="24"/>
                <w:u w:val="single"/>
              </w:rPr>
              <w:t>202</w:t>
            </w:r>
            <w:r w:rsidR="00BD205E">
              <w:rPr>
                <w:b/>
                <w:bCs/>
                <w:szCs w:val="24"/>
                <w:u w:val="single"/>
              </w:rPr>
              <w:t>6</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15D2EF21" w14:textId="542FB4D9" w:rsidR="009165FC" w:rsidRPr="006A2706" w:rsidRDefault="009165FC" w:rsidP="00EA2F11">
            <w:pPr>
              <w:keepNext/>
              <w:jc w:val="center"/>
              <w:rPr>
                <w:b/>
                <w:bCs/>
                <w:szCs w:val="24"/>
                <w:u w:val="single"/>
              </w:rPr>
            </w:pPr>
            <w:r w:rsidRPr="006A2706">
              <w:rPr>
                <w:b/>
                <w:bCs/>
                <w:szCs w:val="24"/>
                <w:u w:val="single"/>
              </w:rPr>
              <w:t>202</w:t>
            </w:r>
            <w:r w:rsidR="00BD205E">
              <w:rPr>
                <w:b/>
                <w:bCs/>
                <w:szCs w:val="24"/>
                <w:u w:val="single"/>
              </w:rPr>
              <w:t>7</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582C8966" w14:textId="4539BDA5" w:rsidR="009165FC" w:rsidRPr="006A2706" w:rsidRDefault="009165FC" w:rsidP="00EA2F11">
            <w:pPr>
              <w:keepNext/>
              <w:jc w:val="center"/>
              <w:rPr>
                <w:b/>
                <w:bCs/>
                <w:szCs w:val="24"/>
                <w:u w:val="single"/>
              </w:rPr>
            </w:pPr>
            <w:r w:rsidRPr="006A2706">
              <w:rPr>
                <w:b/>
                <w:bCs/>
                <w:szCs w:val="24"/>
                <w:u w:val="single"/>
              </w:rPr>
              <w:t>202</w:t>
            </w:r>
            <w:r w:rsidR="00BD205E">
              <w:rPr>
                <w:b/>
                <w:bCs/>
                <w:szCs w:val="24"/>
                <w:u w:val="single"/>
              </w:rPr>
              <w:t>8</w:t>
            </w:r>
          </w:p>
        </w:tc>
      </w:tr>
      <w:tr w:rsidR="00D451A0" w:rsidRPr="00BD0B61" w14:paraId="414A7C50" w14:textId="77777777" w:rsidTr="00936159">
        <w:trPr>
          <w:trHeight w:val="288"/>
        </w:trPr>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17898" w14:textId="77777777" w:rsidR="009165FC" w:rsidRPr="006A2706" w:rsidRDefault="009165FC" w:rsidP="00EA2F11">
            <w:pPr>
              <w:keepNext/>
              <w:jc w:val="right"/>
              <w:rPr>
                <w:szCs w:val="24"/>
              </w:rPr>
            </w:pPr>
            <w:r w:rsidRPr="006A2706">
              <w:rPr>
                <w:szCs w:val="24"/>
              </w:rPr>
              <w:t>Capex estimates</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C5BC1" w14:textId="717C3E9F" w:rsidR="009165FC" w:rsidRPr="006A2706" w:rsidRDefault="007C721A" w:rsidP="00EA2F11">
            <w:pPr>
              <w:keepNext/>
              <w:jc w:val="right"/>
              <w:rPr>
                <w:szCs w:val="24"/>
              </w:rPr>
            </w:pPr>
            <w:r w:rsidRPr="00BC6931">
              <w:t xml:space="preserve"> $1,89</w:t>
            </w:r>
            <w:r w:rsidR="00B112B3">
              <w:t>5</w:t>
            </w:r>
            <w:r w:rsidRPr="00BC6931">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8AA64" w14:textId="04BCEBA7" w:rsidR="009165FC" w:rsidRPr="006A2706" w:rsidRDefault="001E6D66" w:rsidP="00EA2F11">
            <w:pPr>
              <w:keepNext/>
              <w:jc w:val="right"/>
              <w:rPr>
                <w:szCs w:val="24"/>
              </w:rPr>
            </w:pPr>
            <w:r>
              <w:t>$</w:t>
            </w:r>
            <w:r w:rsidR="007C721A" w:rsidRPr="00BC6931">
              <w:t xml:space="preserve">2,598 </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DAFC5" w14:textId="0C25E45C" w:rsidR="009165FC" w:rsidRPr="006A2706" w:rsidRDefault="001E6D66" w:rsidP="00EA2F11">
            <w:pPr>
              <w:keepNext/>
              <w:jc w:val="right"/>
              <w:rPr>
                <w:szCs w:val="24"/>
              </w:rPr>
            </w:pPr>
            <w:r>
              <w:t>$</w:t>
            </w:r>
            <w:r w:rsidR="007C721A" w:rsidRPr="00BC6931">
              <w:t xml:space="preserve">2,663 </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CF28E" w14:textId="150EF9C6" w:rsidR="009165FC" w:rsidRPr="006A2706" w:rsidRDefault="001E6D66" w:rsidP="00EA2F11">
            <w:pPr>
              <w:keepNext/>
              <w:jc w:val="right"/>
              <w:rPr>
                <w:szCs w:val="24"/>
              </w:rPr>
            </w:pPr>
            <w:r>
              <w:t>$</w:t>
            </w:r>
            <w:r w:rsidR="007C721A" w:rsidRPr="00BC6931">
              <w:t xml:space="preserve">2,822 </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21131" w14:textId="2F1E824C" w:rsidR="009165FC" w:rsidRPr="006A2706" w:rsidRDefault="001E6D66" w:rsidP="00EA2F11">
            <w:pPr>
              <w:keepNext/>
              <w:jc w:val="right"/>
              <w:rPr>
                <w:szCs w:val="24"/>
              </w:rPr>
            </w:pPr>
            <w:r>
              <w:t>$</w:t>
            </w:r>
            <w:r w:rsidR="007C721A" w:rsidRPr="00BC6931">
              <w:t xml:space="preserve">2,816 </w:t>
            </w:r>
          </w:p>
        </w:tc>
      </w:tr>
      <w:tr w:rsidR="00CE0D43" w:rsidRPr="00BD0B61" w14:paraId="5DF082B4" w14:textId="77777777" w:rsidTr="00EA2F11">
        <w:trPr>
          <w:trHeight w:val="288"/>
        </w:trPr>
        <w:tc>
          <w:tcPr>
            <w:tcW w:w="2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8FD809" w14:textId="77777777" w:rsidR="00CE0D43" w:rsidRPr="006A2706" w:rsidRDefault="00CE0D43" w:rsidP="00EA2F11">
            <w:pPr>
              <w:keepNext/>
              <w:jc w:val="right"/>
              <w:rPr>
                <w:szCs w:val="24"/>
              </w:rPr>
            </w:pPr>
            <w:r w:rsidRPr="006A2706">
              <w:rPr>
                <w:szCs w:val="24"/>
              </w:rPr>
              <w:t>Cumulative</w:t>
            </w:r>
          </w:p>
        </w:tc>
        <w:tc>
          <w:tcPr>
            <w:tcW w:w="1170" w:type="dxa"/>
            <w:tcBorders>
              <w:top w:val="single" w:sz="4" w:space="0" w:color="auto"/>
              <w:left w:val="single" w:sz="4" w:space="0" w:color="auto"/>
              <w:bottom w:val="single" w:sz="4" w:space="0" w:color="auto"/>
              <w:right w:val="single" w:sz="4" w:space="0" w:color="auto"/>
            </w:tcBorders>
            <w:shd w:val="clear" w:color="auto" w:fill="auto"/>
            <w:noWrap/>
            <w:hideMark/>
          </w:tcPr>
          <w:p w14:paraId="665FBC57" w14:textId="5A6652A4" w:rsidR="00CE0D43" w:rsidRPr="006A2706" w:rsidRDefault="00CE0D43" w:rsidP="00EA2F11">
            <w:pPr>
              <w:keepNext/>
              <w:jc w:val="right"/>
              <w:rPr>
                <w:szCs w:val="24"/>
              </w:rPr>
            </w:pPr>
            <w:r w:rsidRPr="00622782">
              <w:t xml:space="preserve">$1,895 </w:t>
            </w:r>
          </w:p>
        </w:tc>
        <w:tc>
          <w:tcPr>
            <w:tcW w:w="1170" w:type="dxa"/>
            <w:tcBorders>
              <w:top w:val="single" w:sz="4" w:space="0" w:color="auto"/>
              <w:left w:val="single" w:sz="4" w:space="0" w:color="auto"/>
              <w:bottom w:val="single" w:sz="4" w:space="0" w:color="auto"/>
              <w:right w:val="single" w:sz="4" w:space="0" w:color="auto"/>
            </w:tcBorders>
            <w:shd w:val="clear" w:color="auto" w:fill="auto"/>
            <w:noWrap/>
            <w:hideMark/>
          </w:tcPr>
          <w:p w14:paraId="01C9451A" w14:textId="48A7B7BD" w:rsidR="00CE0D43" w:rsidRPr="006A2706" w:rsidRDefault="00CE0D43" w:rsidP="00EA2F11">
            <w:pPr>
              <w:keepNext/>
              <w:jc w:val="right"/>
              <w:rPr>
                <w:szCs w:val="24"/>
              </w:rPr>
            </w:pPr>
            <w:r w:rsidRPr="00622782">
              <w:t xml:space="preserve">$4,493 </w:t>
            </w:r>
          </w:p>
        </w:tc>
        <w:tc>
          <w:tcPr>
            <w:tcW w:w="1170" w:type="dxa"/>
            <w:tcBorders>
              <w:top w:val="single" w:sz="4" w:space="0" w:color="auto"/>
              <w:left w:val="single" w:sz="4" w:space="0" w:color="auto"/>
              <w:bottom w:val="single" w:sz="4" w:space="0" w:color="auto"/>
              <w:right w:val="single" w:sz="4" w:space="0" w:color="auto"/>
            </w:tcBorders>
            <w:shd w:val="clear" w:color="auto" w:fill="auto"/>
            <w:noWrap/>
            <w:hideMark/>
          </w:tcPr>
          <w:p w14:paraId="216CB4B7" w14:textId="62589D55" w:rsidR="00CE0D43" w:rsidRPr="006A2706" w:rsidRDefault="00CE0D43" w:rsidP="00EA2F11">
            <w:pPr>
              <w:keepNext/>
              <w:jc w:val="right"/>
              <w:rPr>
                <w:szCs w:val="24"/>
              </w:rPr>
            </w:pPr>
            <w:r w:rsidRPr="00622782">
              <w:t xml:space="preserve">$7,156 </w:t>
            </w:r>
          </w:p>
        </w:tc>
        <w:tc>
          <w:tcPr>
            <w:tcW w:w="1170" w:type="dxa"/>
            <w:tcBorders>
              <w:top w:val="single" w:sz="4" w:space="0" w:color="auto"/>
              <w:left w:val="single" w:sz="4" w:space="0" w:color="auto"/>
              <w:bottom w:val="single" w:sz="4" w:space="0" w:color="auto"/>
              <w:right w:val="single" w:sz="4" w:space="0" w:color="auto"/>
            </w:tcBorders>
            <w:shd w:val="clear" w:color="auto" w:fill="auto"/>
            <w:noWrap/>
            <w:hideMark/>
          </w:tcPr>
          <w:p w14:paraId="625D81C9" w14:textId="3767B1C2" w:rsidR="00CE0D43" w:rsidRPr="006A2706" w:rsidRDefault="00CE0D43" w:rsidP="00EA2F11">
            <w:pPr>
              <w:keepNext/>
              <w:jc w:val="right"/>
              <w:rPr>
                <w:szCs w:val="24"/>
              </w:rPr>
            </w:pPr>
            <w:r w:rsidRPr="00622782">
              <w:t xml:space="preserve">$9,978 </w:t>
            </w:r>
          </w:p>
        </w:tc>
        <w:tc>
          <w:tcPr>
            <w:tcW w:w="1170" w:type="dxa"/>
            <w:tcBorders>
              <w:top w:val="single" w:sz="4" w:space="0" w:color="auto"/>
              <w:left w:val="single" w:sz="4" w:space="0" w:color="auto"/>
              <w:bottom w:val="single" w:sz="4" w:space="0" w:color="auto"/>
              <w:right w:val="single" w:sz="4" w:space="0" w:color="auto"/>
            </w:tcBorders>
            <w:shd w:val="clear" w:color="auto" w:fill="auto"/>
            <w:noWrap/>
            <w:hideMark/>
          </w:tcPr>
          <w:p w14:paraId="3848DA6E" w14:textId="5748B5B8" w:rsidR="00CE0D43" w:rsidRPr="006A2706" w:rsidRDefault="00CE0D43" w:rsidP="00EA2F11">
            <w:pPr>
              <w:keepNext/>
              <w:jc w:val="right"/>
              <w:rPr>
                <w:szCs w:val="24"/>
              </w:rPr>
            </w:pPr>
            <w:r w:rsidRPr="00622782">
              <w:t xml:space="preserve">$12,794 </w:t>
            </w:r>
          </w:p>
        </w:tc>
      </w:tr>
      <w:tr w:rsidR="00CE0D43" w:rsidRPr="00BD0B61" w14:paraId="1A8D5CB2" w14:textId="77777777" w:rsidTr="00EA2F11">
        <w:trPr>
          <w:trHeight w:val="288"/>
        </w:trPr>
        <w:tc>
          <w:tcPr>
            <w:tcW w:w="2070" w:type="dxa"/>
            <w:tcBorders>
              <w:top w:val="single" w:sz="4" w:space="0" w:color="auto"/>
              <w:left w:val="single" w:sz="4" w:space="0" w:color="auto"/>
              <w:bottom w:val="dashSmallGap" w:sz="4" w:space="0" w:color="FFC000"/>
              <w:right w:val="single" w:sz="4" w:space="0" w:color="auto"/>
            </w:tcBorders>
            <w:shd w:val="clear" w:color="auto" w:fill="auto"/>
            <w:noWrap/>
            <w:vAlign w:val="center"/>
            <w:hideMark/>
          </w:tcPr>
          <w:p w14:paraId="6ED31DF0" w14:textId="77777777" w:rsidR="00CE0D43" w:rsidRPr="006A2706" w:rsidRDefault="00CE0D43" w:rsidP="00EA2F11">
            <w:pPr>
              <w:keepNext/>
              <w:jc w:val="right"/>
              <w:rPr>
                <w:szCs w:val="24"/>
              </w:rPr>
            </w:pPr>
            <w:r w:rsidRPr="006A2706">
              <w:rPr>
                <w:szCs w:val="24"/>
              </w:rPr>
              <w:t>Debt funded at 55%</w:t>
            </w:r>
          </w:p>
        </w:tc>
        <w:tc>
          <w:tcPr>
            <w:tcW w:w="1170" w:type="dxa"/>
            <w:tcBorders>
              <w:top w:val="single" w:sz="4" w:space="0" w:color="auto"/>
              <w:left w:val="single" w:sz="4" w:space="0" w:color="auto"/>
              <w:bottom w:val="dashSmallGap" w:sz="4" w:space="0" w:color="FFC000"/>
              <w:right w:val="single" w:sz="4" w:space="0" w:color="auto"/>
            </w:tcBorders>
            <w:shd w:val="clear" w:color="auto" w:fill="auto"/>
            <w:noWrap/>
            <w:hideMark/>
          </w:tcPr>
          <w:p w14:paraId="34306544" w14:textId="5F850593" w:rsidR="00CE0D43" w:rsidRPr="006A2706" w:rsidRDefault="00CE0D43" w:rsidP="00EA2F11">
            <w:pPr>
              <w:keepNext/>
              <w:jc w:val="right"/>
              <w:rPr>
                <w:szCs w:val="24"/>
              </w:rPr>
            </w:pPr>
            <w:r w:rsidRPr="00622782">
              <w:t xml:space="preserve">$1,042 </w:t>
            </w:r>
          </w:p>
        </w:tc>
        <w:tc>
          <w:tcPr>
            <w:tcW w:w="1170" w:type="dxa"/>
            <w:tcBorders>
              <w:top w:val="single" w:sz="4" w:space="0" w:color="auto"/>
              <w:left w:val="single" w:sz="4" w:space="0" w:color="auto"/>
              <w:bottom w:val="dashSmallGap" w:sz="4" w:space="0" w:color="FFC000"/>
              <w:right w:val="single" w:sz="4" w:space="0" w:color="auto"/>
            </w:tcBorders>
            <w:shd w:val="clear" w:color="auto" w:fill="auto"/>
            <w:noWrap/>
            <w:hideMark/>
          </w:tcPr>
          <w:p w14:paraId="3FA9BCE4" w14:textId="04455474" w:rsidR="00CE0D43" w:rsidRPr="006A2706" w:rsidRDefault="00CE0D43" w:rsidP="00EA2F11">
            <w:pPr>
              <w:keepNext/>
              <w:jc w:val="right"/>
              <w:rPr>
                <w:szCs w:val="24"/>
              </w:rPr>
            </w:pPr>
            <w:r w:rsidRPr="00622782">
              <w:t xml:space="preserve">$2,471 </w:t>
            </w:r>
          </w:p>
        </w:tc>
        <w:tc>
          <w:tcPr>
            <w:tcW w:w="1170" w:type="dxa"/>
            <w:tcBorders>
              <w:top w:val="single" w:sz="4" w:space="0" w:color="auto"/>
              <w:left w:val="single" w:sz="4" w:space="0" w:color="auto"/>
              <w:bottom w:val="dashSmallGap" w:sz="4" w:space="0" w:color="FFC000"/>
              <w:right w:val="single" w:sz="4" w:space="0" w:color="auto"/>
            </w:tcBorders>
            <w:shd w:val="clear" w:color="auto" w:fill="auto"/>
            <w:noWrap/>
            <w:hideMark/>
          </w:tcPr>
          <w:p w14:paraId="6DC052D6" w14:textId="5040CEA8" w:rsidR="00CE0D43" w:rsidRPr="006A2706" w:rsidRDefault="00CE0D43" w:rsidP="00EA2F11">
            <w:pPr>
              <w:keepNext/>
              <w:jc w:val="right"/>
              <w:rPr>
                <w:szCs w:val="24"/>
              </w:rPr>
            </w:pPr>
            <w:r w:rsidRPr="00622782">
              <w:t xml:space="preserve">$3,936 </w:t>
            </w:r>
          </w:p>
        </w:tc>
        <w:tc>
          <w:tcPr>
            <w:tcW w:w="1170" w:type="dxa"/>
            <w:tcBorders>
              <w:top w:val="single" w:sz="4" w:space="0" w:color="auto"/>
              <w:left w:val="single" w:sz="4" w:space="0" w:color="auto"/>
              <w:bottom w:val="dashSmallGap" w:sz="4" w:space="0" w:color="FFC000"/>
              <w:right w:val="single" w:sz="4" w:space="0" w:color="auto"/>
            </w:tcBorders>
            <w:shd w:val="clear" w:color="auto" w:fill="auto"/>
            <w:noWrap/>
            <w:hideMark/>
          </w:tcPr>
          <w:p w14:paraId="0636DE0C" w14:textId="594720B8" w:rsidR="00CE0D43" w:rsidRPr="006A2706" w:rsidRDefault="00CE0D43" w:rsidP="00EA2F11">
            <w:pPr>
              <w:keepNext/>
              <w:jc w:val="right"/>
              <w:rPr>
                <w:szCs w:val="24"/>
              </w:rPr>
            </w:pPr>
            <w:r w:rsidRPr="00622782">
              <w:t xml:space="preserve">$5,488 </w:t>
            </w:r>
          </w:p>
        </w:tc>
        <w:tc>
          <w:tcPr>
            <w:tcW w:w="1170" w:type="dxa"/>
            <w:tcBorders>
              <w:top w:val="single" w:sz="4" w:space="0" w:color="auto"/>
              <w:left w:val="single" w:sz="4" w:space="0" w:color="auto"/>
              <w:bottom w:val="dashSmallGap" w:sz="4" w:space="0" w:color="FFC000"/>
              <w:right w:val="single" w:sz="4" w:space="0" w:color="auto"/>
            </w:tcBorders>
            <w:shd w:val="clear" w:color="auto" w:fill="auto"/>
            <w:noWrap/>
            <w:hideMark/>
          </w:tcPr>
          <w:p w14:paraId="01F1210B" w14:textId="57D7629F" w:rsidR="00CE0D43" w:rsidRPr="006A2706" w:rsidRDefault="00CE0D43" w:rsidP="00EA2F11">
            <w:pPr>
              <w:keepNext/>
              <w:jc w:val="right"/>
              <w:rPr>
                <w:szCs w:val="24"/>
              </w:rPr>
            </w:pPr>
            <w:r w:rsidRPr="00622782">
              <w:t xml:space="preserve">$7,037 </w:t>
            </w:r>
          </w:p>
        </w:tc>
      </w:tr>
      <w:tr w:rsidR="00937463" w:rsidRPr="00BD0B61" w14:paraId="074DFFE2" w14:textId="77777777" w:rsidTr="00EA2F11">
        <w:trPr>
          <w:trHeight w:val="288"/>
        </w:trPr>
        <w:tc>
          <w:tcPr>
            <w:tcW w:w="2070" w:type="dxa"/>
            <w:tcBorders>
              <w:top w:val="dashSmallGap" w:sz="4" w:space="0" w:color="FFC000"/>
              <w:left w:val="dashSmallGap" w:sz="4" w:space="0" w:color="FFC000"/>
              <w:bottom w:val="dashSmallGap" w:sz="4" w:space="0" w:color="FFC000"/>
              <w:right w:val="single" w:sz="4" w:space="0" w:color="auto"/>
            </w:tcBorders>
            <w:shd w:val="clear" w:color="auto" w:fill="auto"/>
            <w:noWrap/>
            <w:vAlign w:val="center"/>
            <w:hideMark/>
          </w:tcPr>
          <w:p w14:paraId="3C29C6E6" w14:textId="77777777" w:rsidR="00937463" w:rsidRPr="00384BA8" w:rsidRDefault="00937463" w:rsidP="00EA2F11">
            <w:pPr>
              <w:keepNext/>
              <w:jc w:val="right"/>
              <w:rPr>
                <w:sz w:val="22"/>
                <w:szCs w:val="22"/>
              </w:rPr>
            </w:pPr>
            <w:r w:rsidRPr="00384BA8">
              <w:rPr>
                <w:sz w:val="22"/>
                <w:szCs w:val="22"/>
              </w:rPr>
              <w:t>Incremental interest expense (+0.46%)</w:t>
            </w:r>
          </w:p>
        </w:tc>
        <w:tc>
          <w:tcPr>
            <w:tcW w:w="1170" w:type="dxa"/>
            <w:tcBorders>
              <w:top w:val="dashSmallGap" w:sz="4" w:space="0" w:color="FFC000"/>
              <w:left w:val="single" w:sz="4" w:space="0" w:color="auto"/>
              <w:bottom w:val="dashSmallGap" w:sz="4" w:space="0" w:color="FFC000"/>
              <w:right w:val="single" w:sz="4" w:space="0" w:color="auto"/>
            </w:tcBorders>
            <w:shd w:val="clear" w:color="auto" w:fill="auto"/>
            <w:noWrap/>
            <w:vAlign w:val="center"/>
            <w:hideMark/>
          </w:tcPr>
          <w:p w14:paraId="29C032CF" w14:textId="68552A28" w:rsidR="00937463" w:rsidRPr="00BD3C64" w:rsidRDefault="00937463" w:rsidP="00EA2F11">
            <w:pPr>
              <w:keepNext/>
              <w:jc w:val="right"/>
              <w:rPr>
                <w:b/>
                <w:bCs/>
                <w:szCs w:val="24"/>
              </w:rPr>
            </w:pPr>
            <w:r w:rsidRPr="00EA2F11">
              <w:rPr>
                <w:b/>
                <w:bCs/>
              </w:rPr>
              <w:t xml:space="preserve">$5 </w:t>
            </w:r>
          </w:p>
        </w:tc>
        <w:tc>
          <w:tcPr>
            <w:tcW w:w="1170" w:type="dxa"/>
            <w:tcBorders>
              <w:top w:val="dashSmallGap" w:sz="4" w:space="0" w:color="FFC000"/>
              <w:left w:val="single" w:sz="4" w:space="0" w:color="auto"/>
              <w:bottom w:val="dashSmallGap" w:sz="4" w:space="0" w:color="FFC000"/>
              <w:right w:val="single" w:sz="4" w:space="0" w:color="auto"/>
            </w:tcBorders>
            <w:shd w:val="clear" w:color="auto" w:fill="auto"/>
            <w:noWrap/>
            <w:vAlign w:val="center"/>
            <w:hideMark/>
          </w:tcPr>
          <w:p w14:paraId="4D69ED17" w14:textId="1AEA39ED" w:rsidR="00937463" w:rsidRPr="00BD3C64" w:rsidRDefault="00937463" w:rsidP="00EA2F11">
            <w:pPr>
              <w:keepNext/>
              <w:jc w:val="right"/>
              <w:rPr>
                <w:b/>
                <w:bCs/>
                <w:szCs w:val="24"/>
              </w:rPr>
            </w:pPr>
            <w:r w:rsidRPr="00EA2F11">
              <w:rPr>
                <w:b/>
                <w:bCs/>
              </w:rPr>
              <w:t xml:space="preserve">$11 </w:t>
            </w:r>
          </w:p>
        </w:tc>
        <w:tc>
          <w:tcPr>
            <w:tcW w:w="1170" w:type="dxa"/>
            <w:tcBorders>
              <w:top w:val="dashSmallGap" w:sz="4" w:space="0" w:color="FFC000"/>
              <w:left w:val="single" w:sz="4" w:space="0" w:color="auto"/>
              <w:bottom w:val="dashSmallGap" w:sz="4" w:space="0" w:color="FFC000"/>
              <w:right w:val="single" w:sz="4" w:space="0" w:color="auto"/>
            </w:tcBorders>
            <w:shd w:val="clear" w:color="auto" w:fill="auto"/>
            <w:noWrap/>
            <w:vAlign w:val="center"/>
            <w:hideMark/>
          </w:tcPr>
          <w:p w14:paraId="73B9668A" w14:textId="5BED3960" w:rsidR="00937463" w:rsidRPr="00BD3C64" w:rsidRDefault="00937463" w:rsidP="00EA2F11">
            <w:pPr>
              <w:keepNext/>
              <w:jc w:val="right"/>
              <w:rPr>
                <w:b/>
                <w:bCs/>
                <w:szCs w:val="24"/>
              </w:rPr>
            </w:pPr>
            <w:r w:rsidRPr="00EA2F11">
              <w:rPr>
                <w:b/>
                <w:bCs/>
              </w:rPr>
              <w:t xml:space="preserve">$18 </w:t>
            </w:r>
          </w:p>
        </w:tc>
        <w:tc>
          <w:tcPr>
            <w:tcW w:w="1170" w:type="dxa"/>
            <w:tcBorders>
              <w:top w:val="dashSmallGap" w:sz="4" w:space="0" w:color="FFC000"/>
              <w:left w:val="single" w:sz="4" w:space="0" w:color="auto"/>
              <w:bottom w:val="dashSmallGap" w:sz="4" w:space="0" w:color="FFC000"/>
              <w:right w:val="single" w:sz="4" w:space="0" w:color="auto"/>
            </w:tcBorders>
            <w:shd w:val="clear" w:color="auto" w:fill="auto"/>
            <w:noWrap/>
            <w:vAlign w:val="center"/>
            <w:hideMark/>
          </w:tcPr>
          <w:p w14:paraId="2A9FBE82" w14:textId="42A8B84F" w:rsidR="00937463" w:rsidRPr="00BD3C64" w:rsidRDefault="00937463" w:rsidP="00EA2F11">
            <w:pPr>
              <w:keepNext/>
              <w:jc w:val="right"/>
              <w:rPr>
                <w:b/>
                <w:bCs/>
                <w:szCs w:val="24"/>
              </w:rPr>
            </w:pPr>
            <w:r w:rsidRPr="00EA2F11">
              <w:rPr>
                <w:b/>
                <w:bCs/>
              </w:rPr>
              <w:t xml:space="preserve">$25 </w:t>
            </w:r>
          </w:p>
        </w:tc>
        <w:tc>
          <w:tcPr>
            <w:tcW w:w="1170" w:type="dxa"/>
            <w:tcBorders>
              <w:top w:val="dashSmallGap" w:sz="4" w:space="0" w:color="FFC000"/>
              <w:left w:val="single" w:sz="4" w:space="0" w:color="auto"/>
              <w:bottom w:val="dashSmallGap" w:sz="4" w:space="0" w:color="FFC000"/>
              <w:right w:val="dashSmallGap" w:sz="4" w:space="0" w:color="FFC000"/>
            </w:tcBorders>
            <w:shd w:val="clear" w:color="auto" w:fill="auto"/>
            <w:noWrap/>
            <w:vAlign w:val="center"/>
            <w:hideMark/>
          </w:tcPr>
          <w:p w14:paraId="4D5C5D2A" w14:textId="00A3E4CF" w:rsidR="00937463" w:rsidRPr="00BD3C64" w:rsidRDefault="00937463" w:rsidP="00EA2F11">
            <w:pPr>
              <w:keepNext/>
              <w:jc w:val="right"/>
              <w:rPr>
                <w:b/>
                <w:bCs/>
                <w:szCs w:val="24"/>
              </w:rPr>
            </w:pPr>
            <w:r w:rsidRPr="00EA2F11">
              <w:rPr>
                <w:b/>
                <w:bCs/>
              </w:rPr>
              <w:t xml:space="preserve">$32 </w:t>
            </w:r>
          </w:p>
        </w:tc>
      </w:tr>
      <w:tr w:rsidR="00D451A0" w:rsidRPr="00BD0B61" w14:paraId="3BBF8BA1" w14:textId="77777777" w:rsidTr="008B5E62">
        <w:trPr>
          <w:trHeight w:val="413"/>
        </w:trPr>
        <w:tc>
          <w:tcPr>
            <w:tcW w:w="6750" w:type="dxa"/>
            <w:gridSpan w:val="5"/>
            <w:tcBorders>
              <w:top w:val="dashSmallGap" w:sz="4" w:space="0" w:color="FFC000"/>
              <w:left w:val="single" w:sz="4" w:space="0" w:color="auto"/>
              <w:bottom w:val="single" w:sz="4" w:space="0" w:color="auto"/>
              <w:right w:val="single" w:sz="4" w:space="0" w:color="auto"/>
            </w:tcBorders>
            <w:shd w:val="clear" w:color="auto" w:fill="auto"/>
            <w:noWrap/>
            <w:vAlign w:val="center"/>
          </w:tcPr>
          <w:p w14:paraId="6A02886C" w14:textId="5478563C" w:rsidR="00D451A0" w:rsidRPr="00D451A0" w:rsidRDefault="00D451A0" w:rsidP="00D451A0">
            <w:pPr>
              <w:jc w:val="right"/>
              <w:rPr>
                <w:b/>
                <w:bCs/>
                <w:szCs w:val="24"/>
              </w:rPr>
            </w:pPr>
            <w:r w:rsidRPr="00D451A0">
              <w:rPr>
                <w:b/>
                <w:bCs/>
                <w:szCs w:val="24"/>
              </w:rPr>
              <w:t>Total five-year incremental interest expense</w:t>
            </w:r>
          </w:p>
        </w:tc>
        <w:tc>
          <w:tcPr>
            <w:tcW w:w="1170" w:type="dxa"/>
            <w:tcBorders>
              <w:top w:val="dashSmallGap" w:sz="4" w:space="0" w:color="FFC000"/>
              <w:left w:val="nil"/>
              <w:bottom w:val="single" w:sz="4" w:space="0" w:color="auto"/>
              <w:right w:val="single" w:sz="4" w:space="0" w:color="auto"/>
            </w:tcBorders>
            <w:shd w:val="clear" w:color="auto" w:fill="auto"/>
            <w:vAlign w:val="center"/>
          </w:tcPr>
          <w:p w14:paraId="658BB585" w14:textId="00CDE99B" w:rsidR="00D451A0" w:rsidRPr="00D451A0" w:rsidRDefault="00D451A0" w:rsidP="00D451A0">
            <w:pPr>
              <w:jc w:val="right"/>
              <w:rPr>
                <w:b/>
                <w:bCs/>
                <w:szCs w:val="24"/>
              </w:rPr>
            </w:pPr>
            <w:r w:rsidRPr="00D451A0">
              <w:rPr>
                <w:b/>
                <w:bCs/>
                <w:szCs w:val="24"/>
              </w:rPr>
              <w:t>$</w:t>
            </w:r>
            <w:r w:rsidR="007C721A">
              <w:rPr>
                <w:b/>
                <w:bCs/>
                <w:szCs w:val="24"/>
              </w:rPr>
              <w:t>92</w:t>
            </w:r>
          </w:p>
        </w:tc>
      </w:tr>
    </w:tbl>
    <w:p w14:paraId="6609923E" w14:textId="60F1BC6F" w:rsidR="00DE00DF" w:rsidRPr="009F0A90" w:rsidRDefault="00DE00DF" w:rsidP="00D451A0">
      <w:pPr>
        <w:pStyle w:val="CRQuestion"/>
        <w:spacing w:before="240"/>
      </w:pPr>
      <w:r>
        <w:t>Q</w:t>
      </w:r>
      <w:r w:rsidR="00F5154E">
        <w:t>.</w:t>
      </w:r>
      <w:r>
        <w:tab/>
      </w:r>
      <w:r w:rsidRPr="009F0A90">
        <w:t xml:space="preserve">SHOULD </w:t>
      </w:r>
      <w:r>
        <w:t xml:space="preserve">A </w:t>
      </w:r>
      <w:r w:rsidR="00024D84">
        <w:t>UTILITY</w:t>
      </w:r>
      <w:r>
        <w:t xml:space="preserve"> REGULATOR</w:t>
      </w:r>
      <w:r w:rsidRPr="009F0A90">
        <w:t xml:space="preserve"> BE CONCERNED ABOUT </w:t>
      </w:r>
      <w:r>
        <w:t xml:space="preserve">A UTILITY’S CREDIT RATINGS AND ITS CAPITAL </w:t>
      </w:r>
      <w:r w:rsidR="00F5154E">
        <w:t xml:space="preserve">STRUCTURE </w:t>
      </w:r>
      <w:r>
        <w:t>WHEN ESTABLISHING RATES</w:t>
      </w:r>
      <w:r w:rsidRPr="009F0A90">
        <w:t xml:space="preserve">? </w:t>
      </w:r>
    </w:p>
    <w:p w14:paraId="35F70AF4" w14:textId="4EBACC64" w:rsidR="00E55430" w:rsidRDefault="00DE00DF" w:rsidP="002E7557">
      <w:pPr>
        <w:pStyle w:val="CRAnswer"/>
      </w:pPr>
      <w:r w:rsidRPr="009F0A90">
        <w:t>A.</w:t>
      </w:r>
      <w:r w:rsidRPr="009F0A90">
        <w:tab/>
      </w:r>
      <w:r>
        <w:t>Yes</w:t>
      </w:r>
      <w:r w:rsidR="00643301">
        <w:t>.  T</w:t>
      </w:r>
      <w:r w:rsidRPr="009F0A90">
        <w:t xml:space="preserve">he ability to attract capital at a reasonable cost in all market conditions is critical </w:t>
      </w:r>
      <w:r>
        <w:t>for a utility if it is to satisfy its</w:t>
      </w:r>
      <w:r w:rsidRPr="009F0A90">
        <w:t xml:space="preserve"> obligation to provide safe and reliable utility service</w:t>
      </w:r>
      <w:r>
        <w:t xml:space="preserve"> and fund the capital investments necessary to meet its </w:t>
      </w:r>
      <w:r w:rsidR="0076336A">
        <w:t>customers’</w:t>
      </w:r>
      <w:r w:rsidR="00E55430">
        <w:t xml:space="preserve"> </w:t>
      </w:r>
      <w:r>
        <w:t>demands</w:t>
      </w:r>
      <w:r w:rsidRPr="009F0A90">
        <w:t xml:space="preserve">. </w:t>
      </w:r>
      <w:r w:rsidR="0066554A">
        <w:t>A</w:t>
      </w:r>
      <w:r w:rsidR="00F5154E">
        <w:t xml:space="preserve">s </w:t>
      </w:r>
      <w:r w:rsidR="3F35B098">
        <w:t>stated</w:t>
      </w:r>
      <w:r w:rsidR="00F5154E">
        <w:t xml:space="preserve"> in </w:t>
      </w:r>
      <w:r w:rsidR="63652CFE">
        <w:t>Commission Substantive Rule 25.231(c)(1)</w:t>
      </w:r>
      <w:r w:rsidR="76C0AF4D">
        <w:t>(A) and (C)</w:t>
      </w:r>
      <w:r w:rsidR="00E55430">
        <w:t xml:space="preserve">: </w:t>
      </w:r>
    </w:p>
    <w:p w14:paraId="4306A36D" w14:textId="49E555BB" w:rsidR="002A21D8" w:rsidRDefault="61D7EA6A" w:rsidP="00AC65CC">
      <w:pPr>
        <w:snapToGrid w:val="0"/>
        <w:ind w:left="1440" w:right="720"/>
        <w:jc w:val="both"/>
      </w:pPr>
      <w:r w:rsidRPr="00AC65CC">
        <w:t xml:space="preserve">(A) </w:t>
      </w:r>
      <w:r w:rsidR="72562427" w:rsidRPr="00AC65CC">
        <w:t xml:space="preserve">The </w:t>
      </w:r>
      <w:r w:rsidR="00E55430" w:rsidRPr="00AC65CC">
        <w:t xml:space="preserve">return should be </w:t>
      </w:r>
      <w:r w:rsidR="509295D7" w:rsidRPr="00AC65CC">
        <w:t>reasonably</w:t>
      </w:r>
      <w:r w:rsidR="00E55430" w:rsidRPr="00AC65CC">
        <w:t xml:space="preserve"> sufficient to assure </w:t>
      </w:r>
      <w:r w:rsidR="6EACF3BE" w:rsidRPr="00AC65CC">
        <w:t>confidence</w:t>
      </w:r>
      <w:r w:rsidR="00E55430" w:rsidRPr="00AC65CC">
        <w:t xml:space="preserve"> in </w:t>
      </w:r>
      <w:r w:rsidR="0DB10FFE" w:rsidRPr="00AC65CC">
        <w:t xml:space="preserve">the </w:t>
      </w:r>
      <w:r w:rsidR="00E55430" w:rsidRPr="00AC65CC">
        <w:t xml:space="preserve">financial soundness of </w:t>
      </w:r>
      <w:r w:rsidR="5BEDE50F" w:rsidRPr="00AC65CC">
        <w:t xml:space="preserve">the </w:t>
      </w:r>
      <w:r w:rsidR="00E55430" w:rsidRPr="00AC65CC">
        <w:t>electric utility and should be adequate</w:t>
      </w:r>
      <w:r w:rsidR="009222C3">
        <w:t xml:space="preserve"> . . . </w:t>
      </w:r>
      <w:r w:rsidR="00E55430" w:rsidRPr="00AC65CC">
        <w:t>to maintain and support its credit and enable it to raise the money necessary</w:t>
      </w:r>
      <w:r w:rsidR="61E9D4F1" w:rsidRPr="00AC65CC">
        <w:t xml:space="preserve"> for the </w:t>
      </w:r>
      <w:r w:rsidR="00AA350F">
        <w:t xml:space="preserve">proper </w:t>
      </w:r>
      <w:r w:rsidR="61E9D4F1" w:rsidRPr="00AC65CC">
        <w:t>discharge of its public duties</w:t>
      </w:r>
      <w:r w:rsidR="00E55430" w:rsidRPr="00AC65CC">
        <w:t>.</w:t>
      </w:r>
    </w:p>
    <w:p w14:paraId="6B7E5DF1" w14:textId="3AD111D2" w:rsidR="00E55430" w:rsidRPr="00AC65CC" w:rsidRDefault="4A337E8B" w:rsidP="00AC65CC">
      <w:pPr>
        <w:snapToGrid w:val="0"/>
        <w:ind w:left="1440" w:right="720"/>
        <w:jc w:val="both"/>
      </w:pPr>
      <w:r w:rsidRPr="00AC65CC">
        <w:t xml:space="preserve">. . </w:t>
      </w:r>
      <w:r w:rsidR="00E55430" w:rsidRPr="00AC65CC">
        <w:t>.</w:t>
      </w:r>
    </w:p>
    <w:p w14:paraId="5C8A8F38" w14:textId="2917EEA1" w:rsidR="00E55430" w:rsidRDefault="49CA2740" w:rsidP="001E6D66">
      <w:pPr>
        <w:snapToGrid w:val="0"/>
        <w:spacing w:after="240"/>
        <w:ind w:left="1440" w:right="720"/>
        <w:jc w:val="both"/>
        <w:rPr>
          <w:bCs/>
          <w:szCs w:val="24"/>
        </w:rPr>
      </w:pPr>
      <w:r w:rsidRPr="00AC65CC">
        <w:lastRenderedPageBreak/>
        <w:t xml:space="preserve">(C) The </w:t>
      </w:r>
      <w:r w:rsidR="002A21D8">
        <w:t>[</w:t>
      </w:r>
      <w:r w:rsidR="00E55430" w:rsidRPr="00AC65CC">
        <w:t>C</w:t>
      </w:r>
      <w:r w:rsidR="002A21D8">
        <w:t>]</w:t>
      </w:r>
      <w:r w:rsidR="00E55430" w:rsidRPr="00AC65CC">
        <w:t>ommission may, in addition, consider inflation, deflation, the growth rate of the service area and the need for the electric utility to attract new capital.</w:t>
      </w:r>
      <w:r w:rsidR="00E32813">
        <w:rPr>
          <w:rStyle w:val="FootnoteReference"/>
        </w:rPr>
        <w:footnoteReference w:id="9"/>
      </w:r>
    </w:p>
    <w:p w14:paraId="00A3090A" w14:textId="52BAA99E" w:rsidR="009F0A90" w:rsidRPr="009F0A90" w:rsidRDefault="00DE00DF" w:rsidP="0027522F">
      <w:pPr>
        <w:pStyle w:val="CRQuestion"/>
      </w:pPr>
      <w:r>
        <w:rPr>
          <w:bCs/>
        </w:rPr>
        <w:t xml:space="preserve">Q.  </w:t>
      </w:r>
      <w:r>
        <w:rPr>
          <w:bCs/>
        </w:rPr>
        <w:tab/>
      </w:r>
      <w:r w:rsidR="009F0A90" w:rsidRPr="009F0A90">
        <w:t xml:space="preserve">CAN A PROCEEDING SUCH AS THIS ONE AFFECT </w:t>
      </w:r>
      <w:r w:rsidR="00526C74">
        <w:t>CENTERPOINT HOUSTON’S</w:t>
      </w:r>
      <w:r w:rsidR="009F0A90" w:rsidRPr="009F0A90">
        <w:t xml:space="preserve"> FINANCIAL INTEGRITY?</w:t>
      </w:r>
    </w:p>
    <w:p w14:paraId="1A4EAC10" w14:textId="77777777" w:rsidR="009B6DAD" w:rsidRDefault="009F0A90" w:rsidP="0027522F">
      <w:pPr>
        <w:pStyle w:val="CRAnswer"/>
      </w:pPr>
      <w:r w:rsidRPr="009F0A90">
        <w:t>A.</w:t>
      </w:r>
      <w:r w:rsidRPr="009F0A90">
        <w:tab/>
      </w:r>
      <w:r w:rsidR="00526C74">
        <w:t xml:space="preserve">Yes.  </w:t>
      </w:r>
      <w:r w:rsidRPr="009F0A90">
        <w:t xml:space="preserve">Achieving a balanced or constructive outcome in a rate proceeding is </w:t>
      </w:r>
      <w:proofErr w:type="gramStart"/>
      <w:r w:rsidRPr="009F0A90">
        <w:t>an important factor</w:t>
      </w:r>
      <w:proofErr w:type="gramEnd"/>
      <w:r w:rsidRPr="009F0A90">
        <w:t xml:space="preserve"> considered by the rating agencies in assessing </w:t>
      </w:r>
      <w:r w:rsidR="00CC25A3">
        <w:t>a utility’s</w:t>
      </w:r>
      <w:r w:rsidRPr="009F0A90">
        <w:t xml:space="preserve"> credit quality.  Although </w:t>
      </w:r>
      <w:r w:rsidR="00D4334C">
        <w:t xml:space="preserve">CenterPoint Houston has </w:t>
      </w:r>
      <w:r w:rsidRPr="009F0A90">
        <w:t xml:space="preserve">successfully strengthened </w:t>
      </w:r>
      <w:r w:rsidR="00D4334C">
        <w:t>its</w:t>
      </w:r>
      <w:r w:rsidRPr="009F0A90">
        <w:t xml:space="preserve"> balance sheet since </w:t>
      </w:r>
      <w:r w:rsidR="00B1261B">
        <w:t xml:space="preserve">2010 when </w:t>
      </w:r>
      <w:r w:rsidRPr="009F0A90">
        <w:t xml:space="preserve">the </w:t>
      </w:r>
      <w:r w:rsidR="00C75863">
        <w:t>C</w:t>
      </w:r>
      <w:r w:rsidRPr="009F0A90">
        <w:t>ompany</w:t>
      </w:r>
      <w:r w:rsidR="00E36A54">
        <w:t xml:space="preserve"> was rated Baa3</w:t>
      </w:r>
      <w:r w:rsidR="00811EEB">
        <w:t xml:space="preserve"> by Moody’s</w:t>
      </w:r>
      <w:r w:rsidRPr="009F0A90">
        <w:t xml:space="preserve">, continued diligence is necessary to ensure that </w:t>
      </w:r>
      <w:r w:rsidR="00D4334C">
        <w:t xml:space="preserve">the </w:t>
      </w:r>
      <w:r w:rsidR="00C75863">
        <w:t xml:space="preserve">Company </w:t>
      </w:r>
      <w:r w:rsidR="00D4334C">
        <w:t>retains</w:t>
      </w:r>
      <w:r w:rsidRPr="009F0A90">
        <w:t xml:space="preserve"> access </w:t>
      </w:r>
      <w:r w:rsidR="00526C74">
        <w:t xml:space="preserve">to </w:t>
      </w:r>
      <w:r w:rsidRPr="009F0A90">
        <w:t xml:space="preserve">capital markets on favorable terms relative to the </w:t>
      </w:r>
      <w:r w:rsidR="00B1261B">
        <w:t xml:space="preserve">current </w:t>
      </w:r>
      <w:r w:rsidRPr="009F0A90">
        <w:t xml:space="preserve">market conditions. </w:t>
      </w:r>
    </w:p>
    <w:p w14:paraId="099E7E42" w14:textId="2A05BBE4" w:rsidR="009F0A90" w:rsidRPr="009F0A90" w:rsidRDefault="009B6DAD" w:rsidP="0027522F">
      <w:pPr>
        <w:pStyle w:val="CRAnswer"/>
      </w:pPr>
      <w:r>
        <w:tab/>
      </w:r>
      <w:r w:rsidR="00033FEB">
        <w:tab/>
      </w:r>
      <w:r w:rsidR="00151E62">
        <w:t xml:space="preserve">This </w:t>
      </w:r>
      <w:r w:rsidR="003B63F9">
        <w:t xml:space="preserve">has been observed in </w:t>
      </w:r>
      <w:r w:rsidR="001024B4">
        <w:t xml:space="preserve">a </w:t>
      </w:r>
      <w:r w:rsidR="003B63F9">
        <w:t xml:space="preserve">recent </w:t>
      </w:r>
      <w:r w:rsidR="00033FEB">
        <w:t>Oncor Electric Delivery Company LLC (“Oncor”)</w:t>
      </w:r>
      <w:r w:rsidR="003B63F9">
        <w:t xml:space="preserve"> rate case</w:t>
      </w:r>
      <w:r w:rsidR="001024B4">
        <w:t xml:space="preserve"> outcome as well in 2023</w:t>
      </w:r>
      <w:r w:rsidR="003B63F9">
        <w:t xml:space="preserve">. </w:t>
      </w:r>
      <w:r w:rsidR="00536188">
        <w:t xml:space="preserve">As described in </w:t>
      </w:r>
      <w:r w:rsidR="00371610">
        <w:t xml:space="preserve">detail in </w:t>
      </w:r>
      <w:r w:rsidR="008A4F40">
        <w:t>the Direct Testimony of Ann E.</w:t>
      </w:r>
      <w:r w:rsidR="00AF113F">
        <w:t xml:space="preserve"> </w:t>
      </w:r>
      <w:r w:rsidR="00B66D45">
        <w:t>Bul</w:t>
      </w:r>
      <w:r w:rsidR="00740967">
        <w:t>kley</w:t>
      </w:r>
      <w:r w:rsidR="00BD3D02">
        <w:t>,</w:t>
      </w:r>
      <w:r w:rsidR="003B63F9">
        <w:t xml:space="preserve"> a</w:t>
      </w:r>
      <w:r w:rsidR="00151E62">
        <w:t xml:space="preserve">fter the </w:t>
      </w:r>
      <w:r w:rsidR="00D03015" w:rsidRPr="00D03015">
        <w:t>Commission issued its final decision in Oncor’s rate case, Moody’</w:t>
      </w:r>
      <w:r w:rsidR="00041F4F">
        <w:t>s</w:t>
      </w:r>
      <w:r w:rsidR="00D03015" w:rsidRPr="00D03015">
        <w:t xml:space="preserve"> found that while the utility continues to benefit from a credit supportive relationship with the Commission as evidenced by the </w:t>
      </w:r>
      <w:r w:rsidR="00D03015" w:rsidRPr="00D03015" w:rsidDel="00B57A8A">
        <w:t>“</w:t>
      </w:r>
      <w:r w:rsidR="00D03015" w:rsidRPr="00D03015">
        <w:t>mostly credit supportive” outcome of the rate proceeding, this was offset by Oncor’s weak authorized ROE and equity ratio that will contribute to deteriorating credit metrics when the utility is facing elevated investments</w:t>
      </w:r>
      <w:r w:rsidR="00041F4F">
        <w:t>.</w:t>
      </w:r>
      <w:r w:rsidR="00041F4F">
        <w:rPr>
          <w:rStyle w:val="FootnoteReference"/>
        </w:rPr>
        <w:footnoteReference w:id="10"/>
      </w:r>
    </w:p>
    <w:p w14:paraId="205E513E" w14:textId="77777777" w:rsidR="009F0A90" w:rsidRPr="009F0A90" w:rsidRDefault="009F0A90" w:rsidP="007578CB">
      <w:pPr>
        <w:pStyle w:val="CRQuestion"/>
        <w:keepNext/>
      </w:pPr>
      <w:r w:rsidRPr="009F0A90">
        <w:lastRenderedPageBreak/>
        <w:t>Q.</w:t>
      </w:r>
      <w:r w:rsidRPr="009F0A90">
        <w:tab/>
        <w:t xml:space="preserve">HOW DO DECISIONS REGARDING </w:t>
      </w:r>
      <w:r w:rsidR="00811EEB">
        <w:t>CENTERPOINT HOUSTON’S</w:t>
      </w:r>
      <w:r w:rsidRPr="009F0A90">
        <w:t xml:space="preserve"> COST OF DEBT, CAPITAL STRUCTURE, AND ROE AFFECT THE COMPANY’S FINANCIAL INTEGRITY? </w:t>
      </w:r>
    </w:p>
    <w:p w14:paraId="5D5F7D65" w14:textId="76F0BFB4" w:rsidR="009F0A90" w:rsidRPr="009F0A90" w:rsidRDefault="009F0A90" w:rsidP="007578CB">
      <w:pPr>
        <w:pStyle w:val="CRAnswer"/>
        <w:keepNext/>
      </w:pPr>
      <w:r>
        <w:t>A.</w:t>
      </w:r>
      <w:r>
        <w:tab/>
        <w:t xml:space="preserve">Decisions regarding these key financial factors affect </w:t>
      </w:r>
      <w:r w:rsidR="00811EEB">
        <w:t>CenterPoint Houston’s</w:t>
      </w:r>
      <w:r>
        <w:t xml:space="preserve"> financial strength and investment strategy in three ways</w:t>
      </w:r>
      <w:r w:rsidR="5F3C85E0">
        <w:t>.</w:t>
      </w:r>
    </w:p>
    <w:p w14:paraId="335A60EC" w14:textId="0AD51326" w:rsidR="009F0A90" w:rsidRPr="009F0A90" w:rsidRDefault="009F0A90" w:rsidP="001E6D66">
      <w:pPr>
        <w:numPr>
          <w:ilvl w:val="0"/>
          <w:numId w:val="19"/>
        </w:numPr>
        <w:tabs>
          <w:tab w:val="clear" w:pos="1094"/>
          <w:tab w:val="num" w:pos="1440"/>
        </w:tabs>
        <w:overflowPunct w:val="0"/>
        <w:autoSpaceDE w:val="0"/>
        <w:autoSpaceDN w:val="0"/>
        <w:adjustRightInd w:val="0"/>
        <w:spacing w:after="240"/>
        <w:ind w:left="1080"/>
        <w:jc w:val="both"/>
        <w:textAlignment w:val="baseline"/>
        <w:rPr>
          <w:szCs w:val="24"/>
        </w:rPr>
      </w:pPr>
      <w:r w:rsidRPr="009F0A90">
        <w:rPr>
          <w:szCs w:val="24"/>
        </w:rPr>
        <w:t xml:space="preserve">First, the authorized ROE and equity ratio affect </w:t>
      </w:r>
      <w:r w:rsidR="00526C74">
        <w:rPr>
          <w:szCs w:val="24"/>
        </w:rPr>
        <w:t>CenterPoint Houston’s</w:t>
      </w:r>
      <w:r w:rsidRPr="009F0A90">
        <w:rPr>
          <w:szCs w:val="24"/>
        </w:rPr>
        <w:t xml:space="preserve"> earnings and directly affect </w:t>
      </w:r>
      <w:r w:rsidR="00526C74">
        <w:rPr>
          <w:szCs w:val="24"/>
        </w:rPr>
        <w:t>its</w:t>
      </w:r>
      <w:r w:rsidRPr="009F0A90">
        <w:rPr>
          <w:szCs w:val="24"/>
        </w:rPr>
        <w:t xml:space="preserve"> ability to fund capital investment with internally</w:t>
      </w:r>
      <w:r w:rsidR="005027A0">
        <w:rPr>
          <w:szCs w:val="24"/>
        </w:rPr>
        <w:noBreakHyphen/>
      </w:r>
      <w:r w:rsidRPr="009F0A90">
        <w:rPr>
          <w:szCs w:val="24"/>
        </w:rPr>
        <w:t xml:space="preserve">generated funds.  Both debt and equity investors expect </w:t>
      </w:r>
      <w:r w:rsidR="002E6451">
        <w:rPr>
          <w:szCs w:val="24"/>
        </w:rPr>
        <w:t xml:space="preserve">a utility </w:t>
      </w:r>
      <w:r w:rsidRPr="009F0A90">
        <w:rPr>
          <w:szCs w:val="24"/>
        </w:rPr>
        <w:t xml:space="preserve">to be able to internally generate a substantial portion of its investment funding. </w:t>
      </w:r>
    </w:p>
    <w:p w14:paraId="2D451BFF" w14:textId="30D3312B" w:rsidR="009F0A90" w:rsidRPr="009F0A90" w:rsidRDefault="009F0A90" w:rsidP="001E6D66">
      <w:pPr>
        <w:numPr>
          <w:ilvl w:val="0"/>
          <w:numId w:val="19"/>
        </w:numPr>
        <w:tabs>
          <w:tab w:val="clear" w:pos="1094"/>
          <w:tab w:val="num" w:pos="1440"/>
        </w:tabs>
        <w:overflowPunct w:val="0"/>
        <w:autoSpaceDE w:val="0"/>
        <w:autoSpaceDN w:val="0"/>
        <w:adjustRightInd w:val="0"/>
        <w:spacing w:after="240"/>
        <w:ind w:left="1080"/>
        <w:jc w:val="both"/>
        <w:textAlignment w:val="baseline"/>
      </w:pPr>
      <w:r>
        <w:t xml:space="preserve">Second, the capital structure and </w:t>
      </w:r>
      <w:r w:rsidR="00CC25A3">
        <w:t>authorized return</w:t>
      </w:r>
      <w:r>
        <w:t xml:space="preserve">s directly affect all of </w:t>
      </w:r>
      <w:r w:rsidR="00D4334C">
        <w:t xml:space="preserve">the </w:t>
      </w:r>
      <w:r w:rsidR="00286D5B">
        <w:t>C</w:t>
      </w:r>
      <w:r w:rsidR="00D4334C">
        <w:t xml:space="preserve">ompany’s </w:t>
      </w:r>
      <w:r>
        <w:t>key credit metrics</w:t>
      </w:r>
      <w:r w:rsidR="67DC501D">
        <w:t>,</w:t>
      </w:r>
      <w:r w:rsidR="009831D0">
        <w:t xml:space="preserve"> whether it impacts </w:t>
      </w:r>
      <w:r w:rsidR="00033FEB">
        <w:t>(</w:t>
      </w:r>
      <w:r w:rsidR="009831D0">
        <w:t xml:space="preserve">1) the allowable </w:t>
      </w:r>
      <w:r w:rsidR="006801CF">
        <w:t xml:space="preserve">amount </w:t>
      </w:r>
      <w:r w:rsidR="009831D0">
        <w:t>of debt compared to the Company’s total capitalization in the Debt</w:t>
      </w:r>
      <w:r w:rsidR="005027A0">
        <w:noBreakHyphen/>
      </w:r>
      <w:r w:rsidR="009831D0">
        <w:t>to</w:t>
      </w:r>
      <w:r w:rsidR="005027A0">
        <w:noBreakHyphen/>
      </w:r>
      <w:r w:rsidR="009831D0">
        <w:t xml:space="preserve">Capitalization ratio, or </w:t>
      </w:r>
      <w:r w:rsidR="00033FEB">
        <w:t>(</w:t>
      </w:r>
      <w:r w:rsidR="009831D0">
        <w:t xml:space="preserve">2) the resulting internally generated cash flows that </w:t>
      </w:r>
      <w:r w:rsidR="002E67FB">
        <w:t xml:space="preserve">drive </w:t>
      </w:r>
      <w:r w:rsidR="009831D0">
        <w:t>the Funds from Operations (</w:t>
      </w:r>
      <w:r w:rsidR="00D621C2">
        <w:t>“</w:t>
      </w:r>
      <w:r w:rsidR="009831D0">
        <w:t>FFO</w:t>
      </w:r>
      <w:r w:rsidR="00D621C2">
        <w:t>”</w:t>
      </w:r>
      <w:r w:rsidR="009831D0">
        <w:t>) numerator in the FFO-to-Debt ratio. Both ratios</w:t>
      </w:r>
      <w:r w:rsidR="0055311B">
        <w:t>,</w:t>
      </w:r>
      <w:r w:rsidR="009831D0">
        <w:t xml:space="preserve"> as previously stated</w:t>
      </w:r>
      <w:r w:rsidR="0055311B">
        <w:t>,</w:t>
      </w:r>
      <w:r w:rsidR="009831D0">
        <w:t xml:space="preserve"> are </w:t>
      </w:r>
      <w:r>
        <w:t xml:space="preserve">primary credit metrics that rating agencies analyze. </w:t>
      </w:r>
    </w:p>
    <w:p w14:paraId="2327E7B6" w14:textId="55BE8912" w:rsidR="003A41AB" w:rsidRPr="00611ED0" w:rsidRDefault="009F0A90" w:rsidP="001E6D66">
      <w:pPr>
        <w:numPr>
          <w:ilvl w:val="0"/>
          <w:numId w:val="19"/>
        </w:numPr>
        <w:tabs>
          <w:tab w:val="clear" w:pos="1094"/>
          <w:tab w:val="num" w:pos="1440"/>
        </w:tabs>
        <w:overflowPunct w:val="0"/>
        <w:autoSpaceDE w:val="0"/>
        <w:autoSpaceDN w:val="0"/>
        <w:adjustRightInd w:val="0"/>
        <w:spacing w:after="240"/>
        <w:ind w:left="1080"/>
        <w:jc w:val="both"/>
        <w:textAlignment w:val="baseline"/>
        <w:rPr>
          <w:b/>
          <w:szCs w:val="24"/>
          <w:u w:val="single"/>
        </w:rPr>
      </w:pPr>
      <w:r w:rsidRPr="001957E5">
        <w:rPr>
          <w:szCs w:val="24"/>
        </w:rPr>
        <w:t xml:space="preserve">Third, debt and equity investors expect </w:t>
      </w:r>
      <w:r w:rsidR="00811EEB" w:rsidRPr="001957E5">
        <w:rPr>
          <w:szCs w:val="24"/>
        </w:rPr>
        <w:t>CenterPoint Houston</w:t>
      </w:r>
      <w:r w:rsidRPr="001957E5">
        <w:rPr>
          <w:szCs w:val="24"/>
        </w:rPr>
        <w:t xml:space="preserve"> to be able to recover its costs in a timely manner and to have an opportunity to earn its authorized </w:t>
      </w:r>
      <w:r w:rsidR="009D352A" w:rsidRPr="001957E5">
        <w:rPr>
          <w:szCs w:val="24"/>
        </w:rPr>
        <w:t>ROE</w:t>
      </w:r>
      <w:r w:rsidRPr="001957E5">
        <w:rPr>
          <w:szCs w:val="24"/>
        </w:rPr>
        <w:t>.</w:t>
      </w:r>
      <w:bookmarkStart w:id="23" w:name="_Toc533334421"/>
    </w:p>
    <w:p w14:paraId="4362FDD7" w14:textId="0201DA53" w:rsidR="002A39A0" w:rsidRDefault="0044451D" w:rsidP="008B5E62">
      <w:pPr>
        <w:pStyle w:val="CROutline1"/>
        <w:tabs>
          <w:tab w:val="left" w:pos="1710"/>
        </w:tabs>
        <w:ind w:left="1627"/>
      </w:pPr>
      <w:bookmarkStart w:id="24" w:name="_Toc159433763"/>
      <w:bookmarkStart w:id="25" w:name="_Toc159434277"/>
      <w:r>
        <w:t>REASONABLENESS OF</w:t>
      </w:r>
      <w:r w:rsidR="002A39A0">
        <w:t xml:space="preserve"> </w:t>
      </w:r>
      <w:r w:rsidR="007E06BE">
        <w:t>44.90</w:t>
      </w:r>
      <w:r w:rsidR="002A39A0">
        <w:t>% EQUITY RATIO</w:t>
      </w:r>
      <w:r w:rsidR="001024B4">
        <w:t xml:space="preserve"> OR GREATER</w:t>
      </w:r>
      <w:bookmarkEnd w:id="24"/>
      <w:bookmarkEnd w:id="25"/>
    </w:p>
    <w:p w14:paraId="0C1E2794" w14:textId="298BC415" w:rsidR="002A39A0" w:rsidRDefault="00A060F5" w:rsidP="00A060F5">
      <w:pPr>
        <w:pStyle w:val="CRQuestion"/>
      </w:pPr>
      <w:r>
        <w:t>Q.</w:t>
      </w:r>
      <w:r>
        <w:tab/>
      </w:r>
      <w:r w:rsidR="002A39A0">
        <w:t xml:space="preserve">WHY IS A CAPITAL STRUCTURE WITH </w:t>
      </w:r>
      <w:r w:rsidR="007E06BE">
        <w:t>44.90</w:t>
      </w:r>
      <w:r w:rsidR="002A39A0">
        <w:t>% EQUITY AND 5</w:t>
      </w:r>
      <w:r w:rsidR="00D47E9E">
        <w:t>5</w:t>
      </w:r>
      <w:r w:rsidR="007E06BE">
        <w:t>.10</w:t>
      </w:r>
      <w:r w:rsidR="002A39A0">
        <w:t xml:space="preserve">% DEBT </w:t>
      </w:r>
      <w:r w:rsidR="009B0D3D">
        <w:t xml:space="preserve">RECOMMENDED </w:t>
      </w:r>
      <w:r w:rsidR="002A39A0">
        <w:t>FOR CENTERPOINT HOUSTON?</w:t>
      </w:r>
    </w:p>
    <w:p w14:paraId="7BE10EC9" w14:textId="37A0E7BE" w:rsidR="002A39A0" w:rsidRDefault="00F32E64" w:rsidP="00F32E64">
      <w:pPr>
        <w:pStyle w:val="CRAnswer"/>
      </w:pPr>
      <w:r>
        <w:t>A</w:t>
      </w:r>
      <w:r w:rsidR="00574EB3">
        <w:t>.</w:t>
      </w:r>
      <w:r>
        <w:tab/>
      </w:r>
      <w:r w:rsidR="0055311B">
        <w:t>In addition to the reasons</w:t>
      </w:r>
      <w:r w:rsidR="00033FEB">
        <w:t xml:space="preserve"> </w:t>
      </w:r>
      <w:r w:rsidR="00AF113F">
        <w:t>Ms.</w:t>
      </w:r>
      <w:r w:rsidR="00033FEB">
        <w:t xml:space="preserve"> Bulkley describes</w:t>
      </w:r>
      <w:r w:rsidR="0055311B">
        <w:t xml:space="preserve"> in her </w:t>
      </w:r>
      <w:r w:rsidR="008A4F40">
        <w:t>Direct Testimony</w:t>
      </w:r>
      <w:r w:rsidR="0055311B">
        <w:t>,</w:t>
      </w:r>
      <w:r w:rsidR="0055311B" w:rsidRPr="0055311B">
        <w:t xml:space="preserve"> </w:t>
      </w:r>
      <w:r w:rsidR="0055311B">
        <w:t xml:space="preserve">the </w:t>
      </w:r>
      <w:r w:rsidR="00BF4982">
        <w:t xml:space="preserve">conservative </w:t>
      </w:r>
      <w:r w:rsidR="007B5612">
        <w:t xml:space="preserve">capital structure containing </w:t>
      </w:r>
      <w:r w:rsidR="005C5C8D">
        <w:t>55</w:t>
      </w:r>
      <w:r w:rsidR="000439B6">
        <w:t>.10</w:t>
      </w:r>
      <w:r w:rsidR="005C5C8D">
        <w:t xml:space="preserve">% debt and </w:t>
      </w:r>
      <w:r w:rsidR="008F709A">
        <w:t>44</w:t>
      </w:r>
      <w:r w:rsidR="003D04AF">
        <w:t>.90</w:t>
      </w:r>
      <w:r w:rsidR="0055311B">
        <w:t xml:space="preserve">% equity </w:t>
      </w:r>
      <w:r w:rsidR="003F25B0">
        <w:t>should be adopted by the Commission</w:t>
      </w:r>
      <w:r w:rsidR="0055311B" w:rsidDel="003F25B0">
        <w:t xml:space="preserve"> </w:t>
      </w:r>
      <w:r w:rsidR="001446D7">
        <w:t xml:space="preserve">for </w:t>
      </w:r>
      <w:r w:rsidR="003F25B0">
        <w:t>CenterPoint Houston</w:t>
      </w:r>
      <w:r w:rsidR="001446D7">
        <w:t xml:space="preserve"> for several </w:t>
      </w:r>
      <w:r w:rsidR="002A39A0">
        <w:t xml:space="preserve">reasons: </w:t>
      </w:r>
    </w:p>
    <w:p w14:paraId="0482D433" w14:textId="7D0F4115" w:rsidR="001446D7" w:rsidRDefault="001446D7" w:rsidP="001E6D66">
      <w:pPr>
        <w:pStyle w:val="BodyTextIndent"/>
        <w:numPr>
          <w:ilvl w:val="0"/>
          <w:numId w:val="6"/>
        </w:numPr>
        <w:tabs>
          <w:tab w:val="clear" w:pos="1224"/>
          <w:tab w:val="num" w:pos="1440"/>
        </w:tabs>
        <w:spacing w:after="240" w:line="240" w:lineRule="auto"/>
        <w:ind w:left="1080"/>
        <w:jc w:val="both"/>
      </w:pPr>
      <w:r>
        <w:t xml:space="preserve">A </w:t>
      </w:r>
      <w:r w:rsidR="003D04AF">
        <w:t>44.90</w:t>
      </w:r>
      <w:r>
        <w:t xml:space="preserve">% equity ratio is consistent with the equity ratio with which </w:t>
      </w:r>
      <w:r w:rsidR="00574EB3">
        <w:t xml:space="preserve">CenterPoint </w:t>
      </w:r>
      <w:r>
        <w:t>Houston has been operating;</w:t>
      </w:r>
    </w:p>
    <w:p w14:paraId="040133CD" w14:textId="49099DE5" w:rsidR="002A39A0" w:rsidRDefault="002A39A0" w:rsidP="001E6D66">
      <w:pPr>
        <w:pStyle w:val="BodyTextIndent"/>
        <w:numPr>
          <w:ilvl w:val="0"/>
          <w:numId w:val="6"/>
        </w:numPr>
        <w:tabs>
          <w:tab w:val="clear" w:pos="1224"/>
          <w:tab w:val="num" w:pos="1440"/>
        </w:tabs>
        <w:spacing w:after="240" w:line="240" w:lineRule="auto"/>
        <w:ind w:left="1080"/>
        <w:jc w:val="both"/>
      </w:pPr>
      <w:r>
        <w:t xml:space="preserve">CenterPoint Houston </w:t>
      </w:r>
      <w:r w:rsidR="002869E2">
        <w:t xml:space="preserve">is exposed to </w:t>
      </w:r>
      <w:r>
        <w:t>business and regulatory risk</w:t>
      </w:r>
      <w:r w:rsidR="002869E2">
        <w:t>s</w:t>
      </w:r>
      <w:r>
        <w:t xml:space="preserve"> that justif</w:t>
      </w:r>
      <w:r w:rsidR="002869E2">
        <w:t>y</w:t>
      </w:r>
      <w:r>
        <w:t xml:space="preserve"> a capital structure with </w:t>
      </w:r>
      <w:r w:rsidR="00BF4982">
        <w:t>at least</w:t>
      </w:r>
      <w:r w:rsidR="00FF5348">
        <w:t xml:space="preserve"> </w:t>
      </w:r>
      <w:r w:rsidR="00AB051A">
        <w:t>44.90</w:t>
      </w:r>
      <w:r w:rsidR="007D6AC6">
        <w:t>% equity</w:t>
      </w:r>
      <w:r>
        <w:t>;</w:t>
      </w:r>
      <w:r w:rsidR="007B5612">
        <w:t xml:space="preserve"> an</w:t>
      </w:r>
      <w:r w:rsidR="001446D7">
        <w:t>d</w:t>
      </w:r>
    </w:p>
    <w:p w14:paraId="3D2CFFD6" w14:textId="2F4434B2" w:rsidR="002A39A0" w:rsidRDefault="002869E2" w:rsidP="001E6D66">
      <w:pPr>
        <w:pStyle w:val="BodyTextIndent"/>
        <w:numPr>
          <w:ilvl w:val="0"/>
          <w:numId w:val="6"/>
        </w:numPr>
        <w:tabs>
          <w:tab w:val="clear" w:pos="1224"/>
          <w:tab w:val="num" w:pos="1440"/>
        </w:tabs>
        <w:spacing w:after="240" w:line="240" w:lineRule="auto"/>
        <w:ind w:left="1080"/>
        <w:jc w:val="both"/>
      </w:pPr>
      <w:r>
        <w:t xml:space="preserve">A </w:t>
      </w:r>
      <w:r w:rsidR="00AB051A">
        <w:t>44.90</w:t>
      </w:r>
      <w:r>
        <w:t xml:space="preserve">% equity ratio </w:t>
      </w:r>
      <w:r w:rsidR="00E62EDB">
        <w:t>wi</w:t>
      </w:r>
      <w:r w:rsidR="00FC7B5C">
        <w:t xml:space="preserve">ll </w:t>
      </w:r>
      <w:r w:rsidR="00E62EDB">
        <w:t>help</w:t>
      </w:r>
      <w:r>
        <w:t xml:space="preserve"> CenterPoint Houston </w:t>
      </w:r>
      <w:r w:rsidR="001B6EB1">
        <w:t xml:space="preserve">pursue </w:t>
      </w:r>
      <w:r w:rsidR="0016299D">
        <w:t>its</w:t>
      </w:r>
      <w:r w:rsidR="001B6EB1">
        <w:t xml:space="preserve"> </w:t>
      </w:r>
      <w:r w:rsidR="003F49AD">
        <w:t xml:space="preserve">objective of </w:t>
      </w:r>
      <w:r w:rsidR="001A3DA5">
        <w:t>improving the</w:t>
      </w:r>
      <w:r w:rsidR="00FC7B5C">
        <w:t xml:space="preserve"> Moody’s </w:t>
      </w:r>
      <w:r>
        <w:t>issuer rating</w:t>
      </w:r>
      <w:r w:rsidR="001A3DA5">
        <w:t xml:space="preserve"> </w:t>
      </w:r>
      <w:r w:rsidR="00A0671E">
        <w:t>t</w:t>
      </w:r>
      <w:r w:rsidR="00455A28">
        <w:t>o A</w:t>
      </w:r>
      <w:r w:rsidR="002514C2">
        <w:t>3</w:t>
      </w:r>
      <w:r>
        <w:t xml:space="preserve">, which will help ensure that </w:t>
      </w:r>
      <w:r w:rsidR="002A39A0">
        <w:t xml:space="preserve">the </w:t>
      </w:r>
      <w:r w:rsidR="00286D5B">
        <w:lastRenderedPageBreak/>
        <w:t>C</w:t>
      </w:r>
      <w:r w:rsidR="002A39A0">
        <w:t xml:space="preserve">ompany has continuous access to the capital markets </w:t>
      </w:r>
      <w:r w:rsidR="00E62EDB">
        <w:t>at satisfactory rates</w:t>
      </w:r>
      <w:r w:rsidR="00CC25A3">
        <w:t xml:space="preserve"> </w:t>
      </w:r>
      <w:r w:rsidR="002A39A0">
        <w:t xml:space="preserve">to finance its business needs </w:t>
      </w:r>
      <w:r w:rsidR="00FC7B5C">
        <w:t>through</w:t>
      </w:r>
      <w:r w:rsidR="002A39A0">
        <w:t xml:space="preserve"> </w:t>
      </w:r>
      <w:r w:rsidR="00FC7B5C">
        <w:t>most</w:t>
      </w:r>
      <w:r w:rsidR="002A39A0">
        <w:t xml:space="preserve"> economic climates;</w:t>
      </w:r>
      <w:r w:rsidR="000625D3">
        <w:t xml:space="preserve"> and</w:t>
      </w:r>
      <w:r w:rsidR="0055311B">
        <w:t xml:space="preserve"> may have a relative cost of debt improvement for our customers.</w:t>
      </w:r>
    </w:p>
    <w:p w14:paraId="2718D9DD" w14:textId="0D1E2A80" w:rsidR="002A39A0" w:rsidRDefault="00574EB3" w:rsidP="00574EB3">
      <w:pPr>
        <w:pStyle w:val="CRAnswer"/>
      </w:pPr>
      <w:r>
        <w:tab/>
      </w:r>
      <w:r w:rsidR="002A39A0">
        <w:t xml:space="preserve">I will discuss these reasons in more detail </w:t>
      </w:r>
      <w:r w:rsidR="002869E2">
        <w:t>in the following subsections of my testimony</w:t>
      </w:r>
      <w:r w:rsidR="002A39A0">
        <w:t>.</w:t>
      </w:r>
    </w:p>
    <w:p w14:paraId="7F6AB539" w14:textId="29227CF3" w:rsidR="002A39A0" w:rsidRPr="00B2255F" w:rsidRDefault="002A39A0" w:rsidP="00E13E9B">
      <w:pPr>
        <w:pStyle w:val="CROutline2"/>
        <w:keepNext/>
      </w:pPr>
      <w:bookmarkStart w:id="26" w:name="_Toc261857956"/>
      <w:bookmarkStart w:id="27" w:name="_Toc159433764"/>
      <w:bookmarkStart w:id="28" w:name="_Toc159434278"/>
      <w:r w:rsidRPr="001A08A3">
        <w:t>Business and Regulatory Risks</w:t>
      </w:r>
      <w:bookmarkEnd w:id="26"/>
      <w:bookmarkEnd w:id="27"/>
      <w:bookmarkEnd w:id="28"/>
    </w:p>
    <w:p w14:paraId="3BB7368E" w14:textId="77777777" w:rsidR="002A39A0" w:rsidRDefault="002A39A0" w:rsidP="008B5E62">
      <w:pPr>
        <w:pStyle w:val="CRQuestion"/>
      </w:pPr>
      <w:bookmarkStart w:id="29" w:name="_Toc261857957"/>
      <w:bookmarkStart w:id="30" w:name="_Toc261867577"/>
      <w:r w:rsidRPr="007F4F92">
        <w:t>Q</w:t>
      </w:r>
      <w:r>
        <w:t>.</w:t>
      </w:r>
      <w:r>
        <w:tab/>
        <w:t>IS IT IMPORTANT TO CONSIDER BUSINESS AND REGULATORY RISK WHEN ESTABLISHING AN APPROPRIATE CAPITAL STRUCTURE FOR CENTERPOINT HOUSTON?</w:t>
      </w:r>
      <w:bookmarkEnd w:id="29"/>
      <w:bookmarkEnd w:id="30"/>
    </w:p>
    <w:p w14:paraId="7EB4C052" w14:textId="332DE832" w:rsidR="002A39A0" w:rsidRDefault="002A39A0" w:rsidP="00E13E9B">
      <w:pPr>
        <w:pStyle w:val="CRAnswer"/>
      </w:pPr>
      <w:bookmarkStart w:id="31" w:name="_Toc261857958"/>
      <w:bookmarkStart w:id="32" w:name="_Toc261867578"/>
      <w:r>
        <w:t>A.</w:t>
      </w:r>
      <w:r>
        <w:tab/>
      </w:r>
      <w:r w:rsidR="002869E2">
        <w:t xml:space="preserve">Yes.  </w:t>
      </w:r>
      <w:r w:rsidR="45E889A9">
        <w:t>T</w:t>
      </w:r>
      <w:r>
        <w:t>o achieve a targeted credit rating, a utility with greater business and regulatory risk requires a greater amount of equity, all else being equal, than a utility with lower business and regulatory risk.</w:t>
      </w:r>
      <w:bookmarkEnd w:id="31"/>
      <w:bookmarkEnd w:id="32"/>
    </w:p>
    <w:p w14:paraId="774308B7" w14:textId="77777777" w:rsidR="002A39A0" w:rsidRDefault="002A39A0" w:rsidP="007578CB">
      <w:pPr>
        <w:pStyle w:val="CRQuestion"/>
        <w:keepNext/>
        <w:keepLines/>
      </w:pPr>
      <w:bookmarkStart w:id="33" w:name="_Toc261857959"/>
      <w:bookmarkStart w:id="34" w:name="_Toc261867579"/>
      <w:r w:rsidRPr="007F4F92">
        <w:t>Q</w:t>
      </w:r>
      <w:r>
        <w:t>.</w:t>
      </w:r>
      <w:r>
        <w:tab/>
        <w:t>WHAT BUSINESS AND REGULATORY RISKS DO YOU BELIEVE ARE IMPORTANT TO CONSIDER WHEN ESTABLISHING AN APPROPRIATE CAPITAL STRUCTURE FOR CENTERPOINT HOUSTON?</w:t>
      </w:r>
      <w:bookmarkEnd w:id="33"/>
      <w:bookmarkEnd w:id="34"/>
    </w:p>
    <w:p w14:paraId="61B2494B" w14:textId="08282ECE" w:rsidR="002A39A0" w:rsidRDefault="002A39A0" w:rsidP="007578CB">
      <w:pPr>
        <w:pStyle w:val="CRAnswer"/>
        <w:keepNext/>
        <w:keepLines/>
      </w:pPr>
      <w:bookmarkStart w:id="35" w:name="_Toc261857960"/>
      <w:bookmarkStart w:id="36" w:name="_Toc261867580"/>
      <w:r>
        <w:t>A.</w:t>
      </w:r>
      <w:r>
        <w:tab/>
      </w:r>
      <w:r w:rsidR="00D473F2">
        <w:t>In addition to risks listed in our</w:t>
      </w:r>
      <w:r w:rsidR="00033FEB">
        <w:t xml:space="preserve"> Form</w:t>
      </w:r>
      <w:r w:rsidR="00D473F2">
        <w:t xml:space="preserve"> 10-K</w:t>
      </w:r>
      <w:r w:rsidR="00033FEB">
        <w:t xml:space="preserve"> filed with the </w:t>
      </w:r>
      <w:r w:rsidR="00E764C6">
        <w:t xml:space="preserve">U.S. </w:t>
      </w:r>
      <w:r w:rsidR="00033FEB">
        <w:t>Securities and Exchange Commission</w:t>
      </w:r>
      <w:r w:rsidR="00D473F2">
        <w:t xml:space="preserve">, </w:t>
      </w:r>
      <w:r>
        <w:t>I</w:t>
      </w:r>
      <w:r w:rsidR="005D5AE8">
        <w:t xml:space="preserve"> believe the following business and regulatory risks </w:t>
      </w:r>
      <w:r w:rsidR="00D473F2">
        <w:t>specifically</w:t>
      </w:r>
      <w:r w:rsidR="005D5AE8">
        <w:t xml:space="preserve"> justify </w:t>
      </w:r>
      <w:r w:rsidR="00D473F2">
        <w:t xml:space="preserve">for CenterPoint Houston to have at least the </w:t>
      </w:r>
      <w:r w:rsidR="008F709A">
        <w:t>44.90</w:t>
      </w:r>
      <w:r w:rsidR="005D5AE8">
        <w:t>% equity ratio that I am supporting in this testimony</w:t>
      </w:r>
      <w:bookmarkEnd w:id="35"/>
      <w:bookmarkEnd w:id="36"/>
      <w:r w:rsidR="44788D19">
        <w:t>.</w:t>
      </w:r>
    </w:p>
    <w:p w14:paraId="78BF1B58" w14:textId="49A116FF" w:rsidR="0055311B" w:rsidRDefault="0055311B" w:rsidP="0055311B">
      <w:pPr>
        <w:pStyle w:val="CRAnswer"/>
        <w:numPr>
          <w:ilvl w:val="0"/>
          <w:numId w:val="36"/>
        </w:numPr>
        <w:tabs>
          <w:tab w:val="left" w:pos="1440"/>
        </w:tabs>
      </w:pPr>
      <w:bookmarkStart w:id="37" w:name="_Toc261857962"/>
      <w:bookmarkStart w:id="38" w:name="_Toc261867582"/>
      <w:r w:rsidRPr="00574407">
        <w:rPr>
          <w:b/>
          <w:u w:val="single"/>
        </w:rPr>
        <w:t>Hurricane risk</w:t>
      </w:r>
      <w:r>
        <w:t>: Houston is uniquely exposed to the impacts of hurricanes, either dealing with wind damage (</w:t>
      </w:r>
      <w:r w:rsidR="009D5D2C" w:rsidRPr="007D18DB">
        <w:rPr>
          <w:i/>
          <w:iCs/>
        </w:rPr>
        <w:t>e.</w:t>
      </w:r>
      <w:r w:rsidR="00406816" w:rsidRPr="007D18DB">
        <w:rPr>
          <w:i/>
          <w:iCs/>
        </w:rPr>
        <w:t>g.</w:t>
      </w:r>
      <w:r w:rsidR="00406816">
        <w:t xml:space="preserve">, </w:t>
      </w:r>
      <w:r>
        <w:t>Ike) or flooding (</w:t>
      </w:r>
      <w:r w:rsidR="00406816" w:rsidRPr="007D18DB">
        <w:rPr>
          <w:i/>
          <w:iCs/>
        </w:rPr>
        <w:t>e.g.</w:t>
      </w:r>
      <w:r w:rsidR="00406816">
        <w:t xml:space="preserve">, </w:t>
      </w:r>
      <w:r>
        <w:t>Harvey).</w:t>
      </w:r>
      <w:r w:rsidR="006424FB">
        <w:t xml:space="preserve"> </w:t>
      </w:r>
      <w:r>
        <w:t xml:space="preserve"> CenterPoint Houston needs to respond to these emergency situations more frequently than other Texas </w:t>
      </w:r>
      <w:r w:rsidR="00574407">
        <w:t xml:space="preserve">transmission and distribution utilities </w:t>
      </w:r>
      <w:r>
        <w:t xml:space="preserve">due to our geography and concentrated population.  Securitization works well, but is a </w:t>
      </w:r>
      <w:r>
        <w:lastRenderedPageBreak/>
        <w:t xml:space="preserve">lengthy process </w:t>
      </w:r>
      <w:r w:rsidR="08FFD68D">
        <w:t>that does not provide funds immediately in the wake of a storm</w:t>
      </w:r>
      <w:r w:rsidR="008572CD">
        <w:t xml:space="preserve"> when service is being restored</w:t>
      </w:r>
      <w:r w:rsidR="08FFD68D">
        <w:t xml:space="preserve">.  </w:t>
      </w:r>
      <w:r w:rsidR="04089570">
        <w:t>Even with securitization,</w:t>
      </w:r>
      <w:r>
        <w:t xml:space="preserve"> CenterPoint Houston would need to finance for up to 18 months </w:t>
      </w:r>
      <w:r w:rsidR="00FF5348">
        <w:t xml:space="preserve">until the process is </w:t>
      </w:r>
      <w:r w:rsidR="0F666CF1">
        <w:t>complete</w:t>
      </w:r>
      <w:r>
        <w:t>.</w:t>
      </w:r>
    </w:p>
    <w:p w14:paraId="5688F7C1" w14:textId="576E8CC2" w:rsidR="0055311B" w:rsidRDefault="0055311B" w:rsidP="0055311B">
      <w:pPr>
        <w:pStyle w:val="CRAnswer"/>
        <w:numPr>
          <w:ilvl w:val="0"/>
          <w:numId w:val="36"/>
        </w:numPr>
        <w:tabs>
          <w:tab w:val="left" w:pos="1440"/>
        </w:tabs>
      </w:pPr>
      <w:r w:rsidRPr="006424FB">
        <w:rPr>
          <w:b/>
          <w:u w:val="single"/>
        </w:rPr>
        <w:t>Growth</w:t>
      </w:r>
      <w:r>
        <w:t xml:space="preserve">: CenterPoint Houston has the obligation to serve our customers, and </w:t>
      </w:r>
      <w:r w:rsidR="098408AF">
        <w:t>the number of customer</w:t>
      </w:r>
      <w:r w:rsidR="00BC3D7B">
        <w:t>s</w:t>
      </w:r>
      <w:r w:rsidR="098408AF">
        <w:t xml:space="preserve"> in our service area has</w:t>
      </w:r>
      <w:r>
        <w:t xml:space="preserve"> grown by 2% per year for decades</w:t>
      </w:r>
      <w:r w:rsidR="00FF5348">
        <w:t xml:space="preserve"> and</w:t>
      </w:r>
      <w:r w:rsidR="5A544CC8">
        <w:t>, unlike many other utility service areas,</w:t>
      </w:r>
      <w:r w:rsidR="00FF5348">
        <w:t xml:space="preserve"> is projected to continue growing</w:t>
      </w:r>
      <w:r>
        <w:t xml:space="preserve">.  CenterPoint Houston has to invest the capital </w:t>
      </w:r>
      <w:r w:rsidR="099FCC12">
        <w:t xml:space="preserve">required </w:t>
      </w:r>
      <w:r>
        <w:t xml:space="preserve">for the growing customer base – </w:t>
      </w:r>
      <w:r w:rsidR="2D5DC4BB" w:rsidRPr="0088690D">
        <w:t>creating a</w:t>
      </w:r>
      <w:r>
        <w:t xml:space="preserve"> continuous need to access capital markets and putting CenterPoint Houston at risk for overleverage due to current regulatory earnings lag and underearning.  Our capital is tied up in the investment – our costs are sunk and prescriptive.</w:t>
      </w:r>
    </w:p>
    <w:p w14:paraId="5F957975" w14:textId="799C5F6D" w:rsidR="0055311B" w:rsidRDefault="0055311B" w:rsidP="0055311B">
      <w:pPr>
        <w:pStyle w:val="CRAnswer"/>
        <w:numPr>
          <w:ilvl w:val="0"/>
          <w:numId w:val="36"/>
        </w:numPr>
        <w:tabs>
          <w:tab w:val="left" w:pos="1440"/>
        </w:tabs>
      </w:pPr>
      <w:r w:rsidRPr="00FE6130">
        <w:rPr>
          <w:b/>
          <w:u w:val="single"/>
        </w:rPr>
        <w:t>Population density</w:t>
      </w:r>
      <w:r>
        <w:t xml:space="preserve">: </w:t>
      </w:r>
      <w:r w:rsidR="00033FEB">
        <w:t>A</w:t>
      </w:r>
      <w:r>
        <w:t xml:space="preserve">s </w:t>
      </w:r>
      <w:r w:rsidR="0005371E">
        <w:t xml:space="preserve">the </w:t>
      </w:r>
      <w:r w:rsidR="00FE6130">
        <w:t xml:space="preserve">utility serving </w:t>
      </w:r>
      <w:r>
        <w:t xml:space="preserve">one of the largest metro areas in the </w:t>
      </w:r>
      <w:r w:rsidR="00FE6130">
        <w:t>United States</w:t>
      </w:r>
      <w:r>
        <w:t xml:space="preserve">, </w:t>
      </w:r>
      <w:r w:rsidR="00FF5348">
        <w:t>CenterPoint Houston</w:t>
      </w:r>
      <w:r>
        <w:t xml:space="preserve"> must invest in more distribution than transmission </w:t>
      </w:r>
      <w:r w:rsidR="04949F39">
        <w:t>compared to</w:t>
      </w:r>
      <w:r>
        <w:t xml:space="preserve"> other utilities in Texas.  This presents unique challenges</w:t>
      </w:r>
      <w:r w:rsidR="00FE6130">
        <w:t>.</w:t>
      </w:r>
    </w:p>
    <w:bookmarkEnd w:id="37"/>
    <w:bookmarkEnd w:id="38"/>
    <w:p w14:paraId="77F2574A" w14:textId="0C819FE8" w:rsidR="00653841" w:rsidRDefault="00653841" w:rsidP="008B5E62">
      <w:pPr>
        <w:pStyle w:val="CRQuestion"/>
      </w:pPr>
      <w:r>
        <w:t>Q.</w:t>
      </w:r>
      <w:r>
        <w:tab/>
        <w:t xml:space="preserve">HOW DOES THAT TYPE OF </w:t>
      </w:r>
      <w:r w:rsidR="005027A0">
        <w:t>AFOREMENTIONED</w:t>
      </w:r>
      <w:r w:rsidR="00FF5348">
        <w:t xml:space="preserve"> </w:t>
      </w:r>
      <w:r>
        <w:t>GROWTH AFFECT CENTERPOINT HOUSTON’S CREDIT METRICS?</w:t>
      </w:r>
    </w:p>
    <w:p w14:paraId="1E632E27" w14:textId="77777777" w:rsidR="00997F6C" w:rsidRPr="003A41AB" w:rsidRDefault="00653841" w:rsidP="003A41AB">
      <w:pPr>
        <w:pStyle w:val="CRAnswer"/>
      </w:pPr>
      <w:r w:rsidRPr="003A41AB">
        <w:t>A.</w:t>
      </w:r>
      <w:r w:rsidRPr="003A41AB">
        <w:tab/>
        <w:t xml:space="preserve">As a public utility, CenterPoint Houston has a statutory duty to provide transmission and distribution service to all customers in its certificated service area.  Thus, CenterPoint Houston is required to invest the capital necessary to construct facilities that will serve the additional </w:t>
      </w:r>
      <w:r w:rsidR="00687774" w:rsidRPr="003A41AB">
        <w:t>growth</w:t>
      </w:r>
      <w:r w:rsidR="00CB4B33" w:rsidRPr="003A41AB">
        <w:t>,</w:t>
      </w:r>
      <w:r w:rsidR="00687774" w:rsidRPr="003A41AB">
        <w:t xml:space="preserve"> which </w:t>
      </w:r>
      <w:r w:rsidR="008A4B5B" w:rsidRPr="003A41AB">
        <w:t>requires</w:t>
      </w:r>
      <w:r w:rsidR="00687774" w:rsidRPr="003A41AB">
        <w:t xml:space="preserve"> </w:t>
      </w:r>
      <w:r w:rsidR="00130324" w:rsidRPr="003A41AB">
        <w:t>incremental</w:t>
      </w:r>
      <w:r w:rsidR="00595A4F" w:rsidRPr="003A41AB">
        <w:t xml:space="preserve"> </w:t>
      </w:r>
      <w:r w:rsidR="00687774" w:rsidRPr="003A41AB">
        <w:t>funding of such growth</w:t>
      </w:r>
      <w:r w:rsidR="00962F4D" w:rsidRPr="003A41AB">
        <w:t>, including debt</w:t>
      </w:r>
      <w:r w:rsidRPr="003A41AB">
        <w:t>.</w:t>
      </w:r>
      <w:r w:rsidR="00687774" w:rsidRPr="003A41AB">
        <w:t xml:space="preserve"> </w:t>
      </w:r>
      <w:r w:rsidR="0023191F" w:rsidRPr="003A41AB">
        <w:t xml:space="preserve"> </w:t>
      </w:r>
      <w:r w:rsidR="008A6756" w:rsidRPr="003A41AB">
        <w:t xml:space="preserve">The ability to generate sufficient cash flows from those capital investments in a timely manner </w:t>
      </w:r>
      <w:r w:rsidR="008A4B5B" w:rsidRPr="003A41AB">
        <w:t xml:space="preserve">relative to the amount of debt </w:t>
      </w:r>
      <w:r w:rsidR="008A4B5B" w:rsidRPr="003A41AB">
        <w:lastRenderedPageBreak/>
        <w:t>necessary to fund the investments will d</w:t>
      </w:r>
      <w:r w:rsidR="0086453E" w:rsidRPr="003A41AB">
        <w:t>rive</w:t>
      </w:r>
      <w:r w:rsidR="008A4B5B" w:rsidRPr="003A41AB">
        <w:t xml:space="preserve"> the </w:t>
      </w:r>
      <w:r w:rsidR="00FC1A95" w:rsidRPr="003A41AB">
        <w:t xml:space="preserve">metrics that support the </w:t>
      </w:r>
      <w:r w:rsidR="1E5E9478" w:rsidRPr="003A41AB">
        <w:t>high-quality</w:t>
      </w:r>
      <w:r w:rsidR="005012A9" w:rsidRPr="003A41AB">
        <w:t xml:space="preserve"> </w:t>
      </w:r>
      <w:r w:rsidR="00F346B6" w:rsidRPr="003A41AB">
        <w:t xml:space="preserve">credit </w:t>
      </w:r>
      <w:r w:rsidR="00FC1A95" w:rsidRPr="003A41AB">
        <w:t>ratings</w:t>
      </w:r>
      <w:r w:rsidR="008A4B5B" w:rsidRPr="003A41AB">
        <w:t xml:space="preserve">. </w:t>
      </w:r>
    </w:p>
    <w:p w14:paraId="1C587A93" w14:textId="77777777" w:rsidR="00997F6C" w:rsidRPr="003A41AB" w:rsidRDefault="00997F6C" w:rsidP="003A41AB">
      <w:pPr>
        <w:pStyle w:val="CRQuestion"/>
      </w:pPr>
      <w:r w:rsidRPr="003A41AB">
        <w:rPr>
          <w:rStyle w:val="normaltextrun"/>
        </w:rPr>
        <w:t xml:space="preserve">Q. </w:t>
      </w:r>
      <w:r w:rsidRPr="003A41AB">
        <w:rPr>
          <w:rStyle w:val="normaltextrun"/>
        </w:rPr>
        <w:tab/>
        <w:t>DOES CENTERPOINT HOUSTON FACE ANY OTHER NEAR-TERM RISKS THAT IMPACT ITS CREDIT RATING? </w:t>
      </w:r>
      <w:r w:rsidRPr="003A41AB">
        <w:rPr>
          <w:rStyle w:val="eop"/>
        </w:rPr>
        <w:t> </w:t>
      </w:r>
    </w:p>
    <w:p w14:paraId="09632981" w14:textId="3F265193" w:rsidR="00997F6C" w:rsidRDefault="00997F6C" w:rsidP="00997F6C">
      <w:pPr>
        <w:pStyle w:val="CRAnswer"/>
        <w:rPr>
          <w:rStyle w:val="eop"/>
        </w:rPr>
      </w:pPr>
      <w:r w:rsidRPr="00180C29">
        <w:rPr>
          <w:rStyle w:val="normaltextrun"/>
        </w:rPr>
        <w:t xml:space="preserve">A. </w:t>
      </w:r>
      <w:r>
        <w:rPr>
          <w:rStyle w:val="tabchar"/>
        </w:rPr>
        <w:tab/>
      </w:r>
      <w:r w:rsidRPr="00180C29">
        <w:rPr>
          <w:rStyle w:val="normaltextrun"/>
        </w:rPr>
        <w:t>Yes.</w:t>
      </w:r>
      <w:r>
        <w:rPr>
          <w:rStyle w:val="normaltextrun"/>
        </w:rPr>
        <w:t xml:space="preserve"> </w:t>
      </w:r>
      <w:r w:rsidRPr="00180C29">
        <w:rPr>
          <w:rStyle w:val="normaltextrun"/>
        </w:rPr>
        <w:t xml:space="preserve"> As noted in</w:t>
      </w:r>
      <w:r w:rsidR="003A41AB">
        <w:rPr>
          <w:rStyle w:val="normaltextrun"/>
        </w:rPr>
        <w:t xml:space="preserve"> Ms. Story’s </w:t>
      </w:r>
      <w:r w:rsidR="00E764C6">
        <w:rPr>
          <w:rStyle w:val="normaltextrun"/>
        </w:rPr>
        <w:t>Direct Testimony</w:t>
      </w:r>
      <w:r w:rsidRPr="00180C29">
        <w:rPr>
          <w:rStyle w:val="normaltextrun"/>
        </w:rPr>
        <w:t xml:space="preserve">, the Inflation Reduction Act imposes a new 15% </w:t>
      </w:r>
      <w:r>
        <w:rPr>
          <w:rStyle w:val="findhit"/>
        </w:rPr>
        <w:t xml:space="preserve">CAMT </w:t>
      </w:r>
      <w:r w:rsidRPr="00180C29">
        <w:rPr>
          <w:rStyle w:val="normaltextrun"/>
        </w:rPr>
        <w:t>based upon adjusted financial statement income.</w:t>
      </w:r>
      <w:r>
        <w:rPr>
          <w:rStyle w:val="normaltextrun"/>
        </w:rPr>
        <w:t xml:space="preserve"> </w:t>
      </w:r>
      <w:r w:rsidRPr="00180C29">
        <w:rPr>
          <w:rStyle w:val="normaltextrun"/>
        </w:rPr>
        <w:t xml:space="preserve"> </w:t>
      </w:r>
      <w:r>
        <w:rPr>
          <w:rStyle w:val="normaltextrun"/>
        </w:rPr>
        <w:t>Ms. Story testifies that the Company</w:t>
      </w:r>
      <w:r w:rsidRPr="00180C29">
        <w:rPr>
          <w:rStyle w:val="normaltextrun"/>
        </w:rPr>
        <w:t xml:space="preserve"> expect</w:t>
      </w:r>
      <w:r>
        <w:rPr>
          <w:rStyle w:val="normaltextrun"/>
        </w:rPr>
        <w:t>s</w:t>
      </w:r>
      <w:r w:rsidRPr="00180C29">
        <w:rPr>
          <w:rStyle w:val="normaltextrun"/>
        </w:rPr>
        <w:t xml:space="preserve"> that </w:t>
      </w:r>
      <w:r>
        <w:rPr>
          <w:rStyle w:val="normaltextrun"/>
        </w:rPr>
        <w:t>CNP</w:t>
      </w:r>
      <w:r w:rsidRPr="00180C29">
        <w:rPr>
          <w:rStyle w:val="normaltextrun"/>
        </w:rPr>
        <w:t xml:space="preserve"> will be subject to the 15% </w:t>
      </w:r>
      <w:r>
        <w:rPr>
          <w:rStyle w:val="findhit"/>
        </w:rPr>
        <w:t>CAMT beginning in tax year 2024</w:t>
      </w:r>
      <w:r w:rsidRPr="007B79FF">
        <w:rPr>
          <w:rStyle w:val="normaltextrun"/>
        </w:rPr>
        <w:t>.</w:t>
      </w:r>
      <w:r w:rsidRPr="00051A07">
        <w:rPr>
          <w:rStyle w:val="FootnoteReference"/>
        </w:rPr>
        <w:footnoteReference w:id="11"/>
      </w:r>
      <w:r>
        <w:rPr>
          <w:rStyle w:val="normaltextrun"/>
        </w:rPr>
        <w:t xml:space="preserve"> </w:t>
      </w:r>
      <w:r w:rsidRPr="00180C29">
        <w:rPr>
          <w:rStyle w:val="normaltextrun"/>
        </w:rPr>
        <w:t xml:space="preserve"> Accordingly, the cash outlay associated with the </w:t>
      </w:r>
      <w:r>
        <w:rPr>
          <w:rStyle w:val="findhit"/>
        </w:rPr>
        <w:t>CAMT</w:t>
      </w:r>
      <w:r w:rsidRPr="00180C29">
        <w:rPr>
          <w:rStyle w:val="normaltextrun"/>
        </w:rPr>
        <w:t xml:space="preserve"> presents a risk to our business that will likely adversely impact </w:t>
      </w:r>
      <w:r>
        <w:rPr>
          <w:rStyle w:val="normaltextrun"/>
        </w:rPr>
        <w:t>CenterPoint Houston’s</w:t>
      </w:r>
      <w:r w:rsidRPr="00180C29">
        <w:rPr>
          <w:rStyle w:val="normaltextrun"/>
        </w:rPr>
        <w:t xml:space="preserve"> credit metrics</w:t>
      </w:r>
      <w:r>
        <w:rPr>
          <w:rStyle w:val="normaltextrun"/>
        </w:rPr>
        <w:t>,</w:t>
      </w:r>
      <w:r w:rsidRPr="00180C29">
        <w:rPr>
          <w:rStyle w:val="normaltextrun"/>
        </w:rPr>
        <w:t xml:space="preserve"> including the funds from operations (FFO)/debt ratio if we are unable to recover the impact of the </w:t>
      </w:r>
      <w:r w:rsidRPr="00180C29">
        <w:rPr>
          <w:rStyle w:val="findhit"/>
        </w:rPr>
        <w:t>tax</w:t>
      </w:r>
      <w:r w:rsidRPr="00180C29">
        <w:rPr>
          <w:rStyle w:val="normaltextrun"/>
        </w:rPr>
        <w:t xml:space="preserve"> through rates as illustrated in Table </w:t>
      </w:r>
      <w:r w:rsidR="002520E1">
        <w:t>JRichert</w:t>
      </w:r>
      <w:r w:rsidR="00742767">
        <w:t>-7</w:t>
      </w:r>
      <w:r w:rsidRPr="00180C29">
        <w:rPr>
          <w:rStyle w:val="normaltextrun"/>
        </w:rPr>
        <w:t xml:space="preserve"> below:</w:t>
      </w:r>
      <w:r w:rsidRPr="00180C29">
        <w:rPr>
          <w:rStyle w:val="eop"/>
        </w:rPr>
        <w:t> </w:t>
      </w:r>
    </w:p>
    <w:p w14:paraId="3C3BF402" w14:textId="2133829B" w:rsidR="00997F6C" w:rsidRPr="00180C29" w:rsidRDefault="00997F6C" w:rsidP="00997F6C">
      <w:pPr>
        <w:pStyle w:val="paragraph"/>
        <w:keepNext/>
        <w:spacing w:before="0" w:beforeAutospacing="0" w:after="0" w:afterAutospacing="0"/>
        <w:jc w:val="center"/>
        <w:textAlignment w:val="baseline"/>
        <w:rPr>
          <w:rStyle w:val="eop"/>
          <w:b/>
          <w:bCs/>
        </w:rPr>
      </w:pPr>
      <w:r w:rsidRPr="00180C29">
        <w:rPr>
          <w:rStyle w:val="eop"/>
          <w:b/>
          <w:bCs/>
        </w:rPr>
        <w:t>Tabl</w:t>
      </w:r>
      <w:r w:rsidR="00FC7793" w:rsidRPr="00180C29">
        <w:rPr>
          <w:rStyle w:val="eop"/>
          <w:b/>
          <w:bCs/>
        </w:rPr>
        <w:t>e</w:t>
      </w:r>
      <w:r w:rsidRPr="00180C29">
        <w:rPr>
          <w:rStyle w:val="eop"/>
          <w:b/>
          <w:bCs/>
        </w:rPr>
        <w:t xml:space="preserve"> </w:t>
      </w:r>
      <w:r w:rsidR="002520E1">
        <w:rPr>
          <w:rStyle w:val="eop"/>
          <w:b/>
          <w:bCs/>
        </w:rPr>
        <w:t>JRichert</w:t>
      </w:r>
      <w:r w:rsidR="00FC7793">
        <w:rPr>
          <w:rStyle w:val="eop"/>
          <w:b/>
          <w:bCs/>
        </w:rPr>
        <w:t>-</w:t>
      </w:r>
      <w:r w:rsidR="00DA218B">
        <w:rPr>
          <w:rStyle w:val="eop"/>
          <w:b/>
          <w:bCs/>
        </w:rPr>
        <w:t>7</w:t>
      </w:r>
      <w:r>
        <w:rPr>
          <w:rStyle w:val="eop"/>
          <w:b/>
          <w:bCs/>
        </w:rPr>
        <w:t xml:space="preserve">. </w:t>
      </w:r>
      <w:r w:rsidRPr="00180C29">
        <w:rPr>
          <w:rStyle w:val="eop"/>
          <w:b/>
          <w:bCs/>
        </w:rPr>
        <w:t xml:space="preserve"> </w:t>
      </w:r>
      <w:r>
        <w:rPr>
          <w:rStyle w:val="eop"/>
          <w:b/>
          <w:bCs/>
        </w:rPr>
        <w:t xml:space="preserve">Corporate </w:t>
      </w:r>
      <w:r w:rsidRPr="00180C29">
        <w:rPr>
          <w:rStyle w:val="eop"/>
          <w:b/>
          <w:bCs/>
        </w:rPr>
        <w:t>Alternative Minimum Tax Impact to FFO</w:t>
      </w:r>
    </w:p>
    <w:p w14:paraId="630CC8C4" w14:textId="77777777" w:rsidR="00997F6C" w:rsidRPr="00180C29" w:rsidRDefault="00997F6C" w:rsidP="00997F6C">
      <w:pPr>
        <w:pStyle w:val="paragraph"/>
        <w:keepNext/>
        <w:spacing w:before="0" w:beforeAutospacing="0" w:after="0" w:afterAutospacing="0"/>
        <w:jc w:val="center"/>
        <w:textAlignment w:val="baseline"/>
        <w:rPr>
          <w:b/>
          <w:bCs/>
          <w:sz w:val="18"/>
          <w:szCs w:val="18"/>
        </w:rPr>
      </w:pPr>
      <w:r w:rsidRPr="00180C29">
        <w:rPr>
          <w:rStyle w:val="eop"/>
          <w:b/>
          <w:bCs/>
        </w:rPr>
        <w:t>Illustrative ONLY</w:t>
      </w:r>
    </w:p>
    <w:p w14:paraId="7C7EF173" w14:textId="77777777" w:rsidR="00997F6C" w:rsidRPr="00180C29" w:rsidRDefault="00997F6C" w:rsidP="00997F6C">
      <w:pPr>
        <w:pStyle w:val="paragraph"/>
        <w:spacing w:before="0" w:beforeAutospacing="0" w:after="0" w:afterAutospacing="0" w:line="480" w:lineRule="auto"/>
        <w:ind w:left="720" w:hanging="720"/>
        <w:jc w:val="right"/>
        <w:textAlignment w:val="baseline"/>
        <w:rPr>
          <w:sz w:val="18"/>
          <w:szCs w:val="18"/>
        </w:rPr>
      </w:pPr>
      <w:r w:rsidRPr="00180C29">
        <w:rPr>
          <w:noProof/>
        </w:rPr>
        <w:drawing>
          <wp:inline distT="0" distB="0" distL="0" distR="0" wp14:anchorId="19341D62" wp14:editId="0568471C">
            <wp:extent cx="5076157" cy="2406650"/>
            <wp:effectExtent l="19050" t="19050" r="10795" b="1270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5076775" cy="2406943"/>
                    </a:xfrm>
                    <a:prstGeom prst="rect">
                      <a:avLst/>
                    </a:prstGeom>
                    <a:noFill/>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D01B859" w14:textId="77777777" w:rsidR="00997F6C" w:rsidRPr="00180C29" w:rsidRDefault="00997F6C" w:rsidP="00997F6C">
      <w:pPr>
        <w:pStyle w:val="CRAnswer"/>
        <w:rPr>
          <w:sz w:val="18"/>
          <w:szCs w:val="18"/>
        </w:rPr>
      </w:pPr>
      <w:r w:rsidRPr="00180C29">
        <w:rPr>
          <w:rStyle w:val="normaltextrun"/>
        </w:rPr>
        <w:lastRenderedPageBreak/>
        <w:t> </w:t>
      </w:r>
      <w:r w:rsidRPr="00180C29">
        <w:rPr>
          <w:rStyle w:val="tabchar"/>
        </w:rPr>
        <w:t> </w:t>
      </w:r>
      <w:r>
        <w:rPr>
          <w:rStyle w:val="tabchar"/>
        </w:rPr>
        <w:tab/>
      </w:r>
      <w:r w:rsidRPr="00180C29">
        <w:rPr>
          <w:rStyle w:val="normaltextrun"/>
        </w:rPr>
        <w:t>In the event that negative credit impacts occur, C</w:t>
      </w:r>
      <w:r>
        <w:rPr>
          <w:rStyle w:val="normaltextrun"/>
        </w:rPr>
        <w:t>enterPoint Houston’</w:t>
      </w:r>
      <w:r w:rsidRPr="00180C29">
        <w:rPr>
          <w:rStyle w:val="normaltextrun"/>
        </w:rPr>
        <w:t>s ability to invest in necessary projects may be impeded as our ability to raise incremental debt issuances may be otherwise limited based on lower credit metrics.</w:t>
      </w:r>
      <w:r w:rsidRPr="00180C29">
        <w:rPr>
          <w:rStyle w:val="eop"/>
        </w:rPr>
        <w:t> </w:t>
      </w:r>
    </w:p>
    <w:p w14:paraId="3609F3A4" w14:textId="77777777" w:rsidR="00997F6C" w:rsidRPr="00180C29" w:rsidRDefault="00997F6C" w:rsidP="00997F6C">
      <w:pPr>
        <w:pStyle w:val="CRQuestion"/>
        <w:rPr>
          <w:sz w:val="18"/>
          <w:szCs w:val="18"/>
        </w:rPr>
      </w:pPr>
      <w:r w:rsidRPr="00180C29">
        <w:rPr>
          <w:rStyle w:val="normaltextrun"/>
        </w:rPr>
        <w:t>Q.</w:t>
      </w:r>
      <w:r w:rsidRPr="00180C29">
        <w:rPr>
          <w:rStyle w:val="tabchar"/>
        </w:rPr>
        <w:t> </w:t>
      </w:r>
      <w:r>
        <w:rPr>
          <w:rStyle w:val="tabchar"/>
        </w:rPr>
        <w:t xml:space="preserve">  </w:t>
      </w:r>
      <w:r w:rsidRPr="00180C29">
        <w:rPr>
          <w:rStyle w:val="normaltextrun"/>
        </w:rPr>
        <w:t xml:space="preserve">HAVE THE CREDIT AGENCIES COMMENTED ON THE IMPACT OF THE </w:t>
      </w:r>
      <w:r>
        <w:rPr>
          <w:rStyle w:val="normaltextrun"/>
        </w:rPr>
        <w:t>CAMT</w:t>
      </w:r>
      <w:r w:rsidRPr="00180C29">
        <w:rPr>
          <w:rStyle w:val="normaltextrun"/>
        </w:rPr>
        <w:t xml:space="preserve"> ON CREDIT?</w:t>
      </w:r>
      <w:r w:rsidRPr="00180C29">
        <w:rPr>
          <w:rStyle w:val="eop"/>
        </w:rPr>
        <w:t> </w:t>
      </w:r>
    </w:p>
    <w:p w14:paraId="332052A0" w14:textId="1C86356C" w:rsidR="00653841" w:rsidRDefault="00997F6C" w:rsidP="00E13E9B">
      <w:pPr>
        <w:pStyle w:val="CRAnswer"/>
      </w:pPr>
      <w:r w:rsidRPr="00180C29">
        <w:rPr>
          <w:rStyle w:val="normaltextrun"/>
        </w:rPr>
        <w:t>A.</w:t>
      </w:r>
      <w:r w:rsidRPr="00180C29">
        <w:rPr>
          <w:rStyle w:val="tabchar"/>
        </w:rPr>
        <w:t> </w:t>
      </w:r>
      <w:r>
        <w:rPr>
          <w:rStyle w:val="tabchar"/>
        </w:rPr>
        <w:t xml:space="preserve">    </w:t>
      </w:r>
      <w:r w:rsidRPr="00180C29">
        <w:rPr>
          <w:rStyle w:val="normaltextrun"/>
        </w:rPr>
        <w:t xml:space="preserve">Yes. </w:t>
      </w:r>
      <w:r>
        <w:rPr>
          <w:rStyle w:val="normaltextrun"/>
        </w:rPr>
        <w:t xml:space="preserve"> </w:t>
      </w:r>
      <w:r w:rsidR="00EB4860">
        <w:rPr>
          <w:rStyle w:val="normaltextrun"/>
        </w:rPr>
        <w:t xml:space="preserve">As shown in Exhibit </w:t>
      </w:r>
      <w:r w:rsidR="002520E1">
        <w:rPr>
          <w:rStyle w:val="normaltextrun"/>
        </w:rPr>
        <w:t>JRichert</w:t>
      </w:r>
      <w:r w:rsidR="00EB4860">
        <w:rPr>
          <w:rStyle w:val="normaltextrun"/>
        </w:rPr>
        <w:t>-</w:t>
      </w:r>
      <w:r w:rsidR="004511BF">
        <w:rPr>
          <w:rStyle w:val="normaltextrun"/>
        </w:rPr>
        <w:t>3</w:t>
      </w:r>
      <w:r w:rsidR="00AA1716">
        <w:rPr>
          <w:rStyle w:val="normaltextrun"/>
        </w:rPr>
        <w:t>(CONF)</w:t>
      </w:r>
      <w:r w:rsidR="00EB4860">
        <w:rPr>
          <w:rStyle w:val="normaltextrun"/>
        </w:rPr>
        <w:t xml:space="preserve">, </w:t>
      </w:r>
      <w:r w:rsidRPr="00180C29">
        <w:rPr>
          <w:rStyle w:val="normaltextrun"/>
        </w:rPr>
        <w:t xml:space="preserve">S&amp;P published a report on August 30, 2022, on the </w:t>
      </w:r>
      <w:r>
        <w:rPr>
          <w:rStyle w:val="normaltextrun"/>
        </w:rPr>
        <w:t>Inflation Reduction</w:t>
      </w:r>
      <w:r w:rsidRPr="00180C29">
        <w:rPr>
          <w:rStyle w:val="normaltextrun"/>
        </w:rPr>
        <w:t xml:space="preserve"> Act </w:t>
      </w:r>
      <w:r w:rsidRPr="00180C29">
        <w:rPr>
          <w:rStyle w:val="findhit"/>
        </w:rPr>
        <w:t>tax</w:t>
      </w:r>
      <w:r w:rsidRPr="00180C29">
        <w:rPr>
          <w:rStyle w:val="normaltextrun"/>
        </w:rPr>
        <w:t xml:space="preserve"> impacts to credit, and stated “the </w:t>
      </w:r>
      <w:r w:rsidR="00AE3058">
        <w:rPr>
          <w:rStyle w:val="normaltextrun"/>
        </w:rPr>
        <w:t>[CAMT]</w:t>
      </w:r>
      <w:r w:rsidRPr="00180C29">
        <w:rPr>
          <w:rStyle w:val="normaltextrun"/>
        </w:rPr>
        <w:t xml:space="preserve"> will impact the FFO of mostly investment-grade companies due to an increase in cash </w:t>
      </w:r>
      <w:r w:rsidRPr="00180C29">
        <w:rPr>
          <w:rStyle w:val="findhit"/>
        </w:rPr>
        <w:t>tax</w:t>
      </w:r>
      <w:r w:rsidRPr="00180C29">
        <w:rPr>
          <w:rStyle w:val="normaltextrun"/>
        </w:rPr>
        <w:t xml:space="preserve"> outflows related to higher </w:t>
      </w:r>
      <w:r w:rsidRPr="00180C29">
        <w:rPr>
          <w:rStyle w:val="findhit"/>
        </w:rPr>
        <w:t>tax</w:t>
      </w:r>
      <w:r w:rsidRPr="00180C29">
        <w:rPr>
          <w:rStyle w:val="normaltextrun"/>
        </w:rPr>
        <w:t xml:space="preserve">es paid, and will also result in reduced accessible cash to offset debt.”  S&amp;P does not expect the </w:t>
      </w:r>
      <w:r>
        <w:rPr>
          <w:rStyle w:val="normaltextrun"/>
        </w:rPr>
        <w:t>C</w:t>
      </w:r>
      <w:r w:rsidRPr="00180C29">
        <w:rPr>
          <w:rStyle w:val="normaltextrun"/>
        </w:rPr>
        <w:t>AMT itself to affect ratings, but I believe this is an additional drag on C</w:t>
      </w:r>
      <w:r>
        <w:rPr>
          <w:rStyle w:val="normaltextrun"/>
        </w:rPr>
        <w:t>enterPoint Houston</w:t>
      </w:r>
      <w:r w:rsidRPr="00180C29">
        <w:rPr>
          <w:rStyle w:val="normaltextrun"/>
        </w:rPr>
        <w:t>’s credit metrics.  Moody’s published a similar report on August 10, 2022</w:t>
      </w:r>
      <w:r w:rsidR="00803B0A">
        <w:rPr>
          <w:rStyle w:val="normaltextrun"/>
        </w:rPr>
        <w:t xml:space="preserve"> (Exhibit </w:t>
      </w:r>
      <w:r w:rsidR="002520E1">
        <w:rPr>
          <w:rStyle w:val="normaltextrun"/>
        </w:rPr>
        <w:t>JRichert</w:t>
      </w:r>
      <w:r w:rsidR="00803B0A">
        <w:rPr>
          <w:rStyle w:val="normaltextrun"/>
        </w:rPr>
        <w:t>-</w:t>
      </w:r>
      <w:r w:rsidR="00AE4843">
        <w:rPr>
          <w:rStyle w:val="normaltextrun"/>
        </w:rPr>
        <w:t>4</w:t>
      </w:r>
      <w:r w:rsidR="004E0516">
        <w:rPr>
          <w:rStyle w:val="normaltextrun"/>
        </w:rPr>
        <w:t>(CONF)</w:t>
      </w:r>
      <w:r w:rsidR="00803B0A">
        <w:rPr>
          <w:rStyle w:val="normaltextrun"/>
        </w:rPr>
        <w:t>)</w:t>
      </w:r>
      <w:r w:rsidRPr="00180C29">
        <w:rPr>
          <w:rStyle w:val="normaltextrun"/>
        </w:rPr>
        <w:t xml:space="preserve">, and noted “from a liquidity perspective, this </w:t>
      </w:r>
      <w:r w:rsidRPr="00180C29">
        <w:rPr>
          <w:rStyle w:val="findhit"/>
        </w:rPr>
        <w:t>tax</w:t>
      </w:r>
      <w:r w:rsidRPr="00180C29">
        <w:rPr>
          <w:rStyle w:val="normaltextrun"/>
        </w:rPr>
        <w:t xml:space="preserve"> will have the largest negative effects on large, growing companies that only recently met the income threshold</w:t>
      </w:r>
      <w:r w:rsidR="004E0516">
        <w:rPr>
          <w:rStyle w:val="normaltextrun"/>
        </w:rPr>
        <w:t xml:space="preserve"> . . . .</w:t>
      </w:r>
      <w:r w:rsidRPr="00180C29">
        <w:rPr>
          <w:rStyle w:val="normaltextrun"/>
        </w:rPr>
        <w:t xml:space="preserve"> Their net operating losses have been used to offset </w:t>
      </w:r>
      <w:r w:rsidRPr="00180C29">
        <w:rPr>
          <w:rStyle w:val="findhit"/>
        </w:rPr>
        <w:t>tax</w:t>
      </w:r>
      <w:r w:rsidRPr="00180C29">
        <w:rPr>
          <w:rStyle w:val="normaltextrun"/>
        </w:rPr>
        <w:t xml:space="preserve">able income, but that offset will be undone by the book minimum </w:t>
      </w:r>
      <w:r w:rsidRPr="00180C29">
        <w:rPr>
          <w:rStyle w:val="findhit"/>
        </w:rPr>
        <w:t>tax</w:t>
      </w:r>
      <w:r w:rsidRPr="00180C29">
        <w:rPr>
          <w:rStyle w:val="normaltextrun"/>
        </w:rPr>
        <w:t xml:space="preserve"> of 15%, which can be a substantial portion of operating cash flow.”</w:t>
      </w:r>
    </w:p>
    <w:p w14:paraId="22C18192" w14:textId="780D7132" w:rsidR="00FA5899" w:rsidRDefault="00FA5899" w:rsidP="00E13E9B">
      <w:pPr>
        <w:pStyle w:val="CRQuestion"/>
      </w:pPr>
      <w:r>
        <w:t>Q.</w:t>
      </w:r>
      <w:r>
        <w:tab/>
        <w:t xml:space="preserve">DOES CENTERPOINT EXPECT TO GENERATE ENOUGH REVENUE FROM OPERATIONS TO </w:t>
      </w:r>
      <w:r w:rsidR="00244255">
        <w:t xml:space="preserve">INTERNALLY </w:t>
      </w:r>
      <w:r>
        <w:t xml:space="preserve">FUND </w:t>
      </w:r>
      <w:r w:rsidR="00962F4D">
        <w:t xml:space="preserve">THE PROJECTED CAPITAL </w:t>
      </w:r>
      <w:r>
        <w:t>INVESTMENT</w:t>
      </w:r>
      <w:r w:rsidR="00962F4D">
        <w:t>S</w:t>
      </w:r>
      <w:r>
        <w:t>?</w:t>
      </w:r>
    </w:p>
    <w:p w14:paraId="5B134B64" w14:textId="5A41ECBE" w:rsidR="00FA5899" w:rsidRPr="00FA5899" w:rsidRDefault="00FA5899" w:rsidP="00E13E9B">
      <w:pPr>
        <w:pStyle w:val="CRAnswer"/>
      </w:pPr>
      <w:r>
        <w:t>A.</w:t>
      </w:r>
      <w:r>
        <w:tab/>
        <w:t xml:space="preserve">No.  CenterPoint Houston’s revenue from operations will not be sufficient to </w:t>
      </w:r>
      <w:r w:rsidR="00244255">
        <w:t xml:space="preserve">internally </w:t>
      </w:r>
      <w:r>
        <w:t xml:space="preserve">fund </w:t>
      </w:r>
      <w:r w:rsidR="00CC25A3">
        <w:t xml:space="preserve">all of </w:t>
      </w:r>
      <w:r>
        <w:t xml:space="preserve">that investment.  </w:t>
      </w:r>
      <w:r w:rsidR="228BF703">
        <w:t>CenterPoint</w:t>
      </w:r>
      <w:r w:rsidR="00725B2A">
        <w:t xml:space="preserve"> Houston</w:t>
      </w:r>
      <w:r w:rsidR="228BF703">
        <w:t xml:space="preserve">’s base rates are set based upon its historic investment levels. </w:t>
      </w:r>
      <w:r w:rsidR="00A22AFA">
        <w:t xml:space="preserve"> </w:t>
      </w:r>
      <w:r w:rsidR="228BF703">
        <w:t xml:space="preserve">As explained </w:t>
      </w:r>
      <w:r w:rsidR="004271BE">
        <w:t xml:space="preserve">in the Direct Testimony of </w:t>
      </w:r>
      <w:r w:rsidR="228BF703">
        <w:lastRenderedPageBreak/>
        <w:t xml:space="preserve">Lynnae </w:t>
      </w:r>
      <w:r w:rsidR="004271BE">
        <w:t xml:space="preserve">K. </w:t>
      </w:r>
      <w:r w:rsidR="228BF703">
        <w:t>Wilson</w:t>
      </w:r>
      <w:r w:rsidR="00BA0C1B">
        <w:t xml:space="preserve"> and </w:t>
      </w:r>
      <w:r w:rsidR="009F665A">
        <w:t>Jason M. Ryan</w:t>
      </w:r>
      <w:r w:rsidR="228BF703">
        <w:t xml:space="preserve">, and others, </w:t>
      </w:r>
      <w:r w:rsidR="00EE19C3">
        <w:t>a</w:t>
      </w:r>
      <w:r w:rsidR="228BF703">
        <w:t xml:space="preserve"> combination of sustaine</w:t>
      </w:r>
      <w:r w:rsidR="04179D75">
        <w:t xml:space="preserve">d and rapid customer growth together with heightened expectations for reliability and resiliency, are </w:t>
      </w:r>
      <w:r w:rsidR="1BA85EDB">
        <w:t xml:space="preserve">requiring ever increasing levels of annual </w:t>
      </w:r>
      <w:r w:rsidR="00BD7F50">
        <w:t xml:space="preserve">capital </w:t>
      </w:r>
      <w:r w:rsidR="1BA85EDB">
        <w:t>investment</w:t>
      </w:r>
      <w:r w:rsidR="00D32A7B">
        <w:t xml:space="preserve"> </w:t>
      </w:r>
      <w:r w:rsidR="005337B4">
        <w:t xml:space="preserve">above base rates. </w:t>
      </w:r>
      <w:r w:rsidR="00291C9A">
        <w:t>As described in earlier testimony, the</w:t>
      </w:r>
      <w:r w:rsidR="003474C6">
        <w:t xml:space="preserve">re is </w:t>
      </w:r>
      <w:r w:rsidR="00291C9A">
        <w:t xml:space="preserve">nearly $13 billion of investments </w:t>
      </w:r>
      <w:r w:rsidR="003474C6">
        <w:t xml:space="preserve">anticipated </w:t>
      </w:r>
      <w:r w:rsidR="00291C9A">
        <w:t xml:space="preserve">over the next five </w:t>
      </w:r>
      <w:r w:rsidR="003474C6">
        <w:t xml:space="preserve">years. </w:t>
      </w:r>
      <w:r>
        <w:t xml:space="preserve">Therefore, it will be necessary for CenterPoint Houston to fund the incremental investment through </w:t>
      </w:r>
      <w:r w:rsidR="003474C6">
        <w:t xml:space="preserve">a combination of </w:t>
      </w:r>
      <w:r>
        <w:t>debt issuances</w:t>
      </w:r>
      <w:r w:rsidR="00CC25A3">
        <w:t>, retained earnings, and equity infusions from</w:t>
      </w:r>
      <w:r w:rsidR="00962F4D">
        <w:t xml:space="preserve"> </w:t>
      </w:r>
      <w:r w:rsidR="00CC25A3">
        <w:t>CNP.</w:t>
      </w:r>
    </w:p>
    <w:p w14:paraId="303E8EE2" w14:textId="4601CCAB" w:rsidR="00F0407D" w:rsidRDefault="00F0407D" w:rsidP="008B5E62">
      <w:pPr>
        <w:pStyle w:val="CRQuestion"/>
      </w:pPr>
      <w:r>
        <w:t>Q.</w:t>
      </w:r>
      <w:r>
        <w:tab/>
      </w:r>
      <w:r w:rsidR="00EF60A7">
        <w:t xml:space="preserve">YOU TESTIFIED EARLIER THAT THE RATING AGENCIES HAVE STATED THAT CONSTRUCTIVE RESPONSES BY THE REGULATORY AGENCIES ARE NECESSARY TO MITIGATE THE EFFECTS OF THE </w:t>
      </w:r>
      <w:r w:rsidR="00C645AC">
        <w:t>FUNDING GAP BEYOND GENERATED CASH FLOWS</w:t>
      </w:r>
      <w:r w:rsidR="00EF60A7">
        <w:t xml:space="preserve">.  WHAT TOOLS </w:t>
      </w:r>
      <w:r w:rsidR="006F7D38">
        <w:t xml:space="preserve">ARE </w:t>
      </w:r>
      <w:r w:rsidR="00EF60A7">
        <w:t xml:space="preserve">AVAILABLE TO </w:t>
      </w:r>
      <w:r w:rsidR="006F7D38">
        <w:t xml:space="preserve">THE REGULATORY COMMISSIONS TO </w:t>
      </w:r>
      <w:r w:rsidR="00EF60A7">
        <w:t>RESTORE THE CASH FLOW TO LEVELS THAT WILL MAINTAIN CURRENT CREDIT METRICS?</w:t>
      </w:r>
    </w:p>
    <w:p w14:paraId="6AFC3CDB" w14:textId="77777777" w:rsidR="00EF60A7" w:rsidRDefault="00EF60A7" w:rsidP="003569FD">
      <w:pPr>
        <w:pStyle w:val="CRAnswer"/>
      </w:pPr>
      <w:r>
        <w:t>A.</w:t>
      </w:r>
      <w:r>
        <w:tab/>
        <w:t>The rating agencies have identified a number of tools to restore part of the lost cash flow, including the following:</w:t>
      </w:r>
    </w:p>
    <w:p w14:paraId="69B785B5" w14:textId="3F3DD06E" w:rsidR="00EF60A7" w:rsidRDefault="6CFCD516" w:rsidP="00760FBE">
      <w:pPr>
        <w:numPr>
          <w:ilvl w:val="0"/>
          <w:numId w:val="26"/>
        </w:numPr>
        <w:spacing w:line="480" w:lineRule="auto"/>
        <w:ind w:left="1080"/>
        <w:jc w:val="both"/>
      </w:pPr>
      <w:r>
        <w:t>a</w:t>
      </w:r>
      <w:r w:rsidR="00EF60A7">
        <w:t>n increase in the authorized equity ratio;</w:t>
      </w:r>
    </w:p>
    <w:p w14:paraId="40915D2D" w14:textId="4171F456" w:rsidR="00EF60A7" w:rsidRDefault="165C67EC" w:rsidP="00760FBE">
      <w:pPr>
        <w:numPr>
          <w:ilvl w:val="0"/>
          <w:numId w:val="26"/>
        </w:numPr>
        <w:spacing w:line="480" w:lineRule="auto"/>
        <w:ind w:left="1080"/>
        <w:jc w:val="both"/>
      </w:pPr>
      <w:r>
        <w:t>a</w:t>
      </w:r>
      <w:r w:rsidR="00EF60A7">
        <w:t>n increase in the authorized ROE; or</w:t>
      </w:r>
    </w:p>
    <w:p w14:paraId="23B05AD2" w14:textId="4BB7620E" w:rsidR="00EF60A7" w:rsidRDefault="48BD3850" w:rsidP="00760FBE">
      <w:pPr>
        <w:numPr>
          <w:ilvl w:val="0"/>
          <w:numId w:val="26"/>
        </w:numPr>
        <w:spacing w:line="480" w:lineRule="auto"/>
        <w:ind w:left="1080"/>
        <w:jc w:val="both"/>
      </w:pPr>
      <w:r>
        <w:t>a</w:t>
      </w:r>
      <w:r w:rsidR="00EF60A7">
        <w:t>n increase in depreciation expense.</w:t>
      </w:r>
    </w:p>
    <w:p w14:paraId="3F98EB1A" w14:textId="2C7777EE" w:rsidR="00EF60A7" w:rsidRDefault="00771500" w:rsidP="00771500">
      <w:pPr>
        <w:pStyle w:val="CRAnswer"/>
      </w:pPr>
      <w:r>
        <w:tab/>
      </w:r>
      <w:r w:rsidR="00EF60A7">
        <w:t xml:space="preserve">These tools are not mutually exclusive.  They can be used in combination with each other and in combination with other tools, such as </w:t>
      </w:r>
      <w:r w:rsidR="00FD710D">
        <w:t xml:space="preserve">shortening </w:t>
      </w:r>
      <w:r w:rsidR="00EF60A7">
        <w:t xml:space="preserve">amortization </w:t>
      </w:r>
      <w:r w:rsidR="00FD710D">
        <w:t>time periods</w:t>
      </w:r>
      <w:r w:rsidR="00EF60A7">
        <w:t>.</w:t>
      </w:r>
    </w:p>
    <w:p w14:paraId="688022DA" w14:textId="0A712187" w:rsidR="00F0407D" w:rsidRDefault="00F0407D" w:rsidP="003569FD">
      <w:pPr>
        <w:pStyle w:val="CRQuestion"/>
      </w:pPr>
      <w:r>
        <w:lastRenderedPageBreak/>
        <w:t>Q.</w:t>
      </w:r>
      <w:r>
        <w:tab/>
      </w:r>
      <w:r w:rsidR="00EF60A7">
        <w:t>WHAT TOOL IS CENTERPOINT HOUSTON PROPOSING THAT THE COMMISSION ADOPT IN THIS CASE?</w:t>
      </w:r>
    </w:p>
    <w:p w14:paraId="7B63E515" w14:textId="29C3E561" w:rsidR="0046178F" w:rsidRDefault="00F0407D" w:rsidP="00180C29">
      <w:pPr>
        <w:pStyle w:val="CRAnswer"/>
      </w:pPr>
      <w:r w:rsidRPr="00114260">
        <w:t>A.</w:t>
      </w:r>
      <w:r w:rsidRPr="00114260">
        <w:tab/>
      </w:r>
      <w:r w:rsidR="00EF60A7">
        <w:t xml:space="preserve">CenterPoint Houston proposes that the Commission help </w:t>
      </w:r>
      <w:r w:rsidR="00BF0257">
        <w:t xml:space="preserve">mitigate </w:t>
      </w:r>
      <w:r w:rsidR="00497635">
        <w:t>the funding g</w:t>
      </w:r>
      <w:r w:rsidR="00170C37">
        <w:t>ap</w:t>
      </w:r>
      <w:r w:rsidR="00EF60A7">
        <w:t xml:space="preserve"> </w:t>
      </w:r>
      <w:r w:rsidR="0024405A">
        <w:t>through</w:t>
      </w:r>
      <w:r w:rsidR="0091662B">
        <w:t xml:space="preserve"> a combination of</w:t>
      </w:r>
      <w:r w:rsidR="0024405A">
        <w:t xml:space="preserve"> all of these </w:t>
      </w:r>
      <w:r w:rsidR="0074583D">
        <w:t>tools</w:t>
      </w:r>
      <w:r w:rsidR="00EC615D">
        <w:t xml:space="preserve"> including</w:t>
      </w:r>
      <w:r w:rsidR="00D92D80" w:rsidDel="00E756BD">
        <w:t xml:space="preserve"> </w:t>
      </w:r>
      <w:r w:rsidR="00034435">
        <w:t>authorizing</w:t>
      </w:r>
      <w:r w:rsidR="00D92D80">
        <w:t xml:space="preserve"> CenterPoint Houston’s </w:t>
      </w:r>
      <w:r w:rsidR="00A53EAE">
        <w:t xml:space="preserve">actual </w:t>
      </w:r>
      <w:r w:rsidR="00D92D80">
        <w:t xml:space="preserve">operating </w:t>
      </w:r>
      <w:r w:rsidR="00F002F0">
        <w:t>capital structure</w:t>
      </w:r>
      <w:r w:rsidR="009433E9">
        <w:t>,</w:t>
      </w:r>
      <w:r w:rsidR="00EC615D">
        <w:t xml:space="preserve"> improving the</w:t>
      </w:r>
      <w:r w:rsidR="00F002F0" w:rsidDel="00EC615D">
        <w:t xml:space="preserve"> </w:t>
      </w:r>
      <w:r w:rsidR="00A077F6">
        <w:t xml:space="preserve">authorized </w:t>
      </w:r>
      <w:r w:rsidR="00A53EAE">
        <w:t xml:space="preserve">ROE </w:t>
      </w:r>
      <w:r w:rsidR="005B44A0">
        <w:t xml:space="preserve">as </w:t>
      </w:r>
      <w:r w:rsidR="00F36E53">
        <w:t xml:space="preserve">supported by </w:t>
      </w:r>
      <w:r w:rsidR="004271BE">
        <w:t>Company w</w:t>
      </w:r>
      <w:r w:rsidR="00F36E53">
        <w:t>itness</w:t>
      </w:r>
      <w:r w:rsidR="005B44A0">
        <w:t xml:space="preserve"> </w:t>
      </w:r>
      <w:r w:rsidR="00C5354D">
        <w:t>Ann E.</w:t>
      </w:r>
      <w:r w:rsidR="005B44A0">
        <w:t xml:space="preserve"> Bulkley</w:t>
      </w:r>
      <w:r w:rsidR="00A4778E">
        <w:t>,</w:t>
      </w:r>
      <w:r w:rsidR="005B44A0">
        <w:t xml:space="preserve"> </w:t>
      </w:r>
      <w:r w:rsidR="00A53EAE">
        <w:t xml:space="preserve">and </w:t>
      </w:r>
      <w:r w:rsidR="00D4002A">
        <w:t xml:space="preserve">approving the </w:t>
      </w:r>
      <w:r w:rsidR="00A53EAE">
        <w:t xml:space="preserve">depreciation </w:t>
      </w:r>
      <w:r w:rsidR="00D4002A">
        <w:t xml:space="preserve">rates </w:t>
      </w:r>
      <w:r w:rsidR="00AE1C3D">
        <w:t>supported by</w:t>
      </w:r>
      <w:r w:rsidR="00535E94">
        <w:t xml:space="preserve"> </w:t>
      </w:r>
      <w:r w:rsidR="004271BE">
        <w:t>Company witness</w:t>
      </w:r>
      <w:r w:rsidR="00801BC8">
        <w:t xml:space="preserve"> </w:t>
      </w:r>
      <w:r w:rsidR="004271BE">
        <w:t>Dane E. Watson</w:t>
      </w:r>
      <w:r w:rsidR="00297AB7">
        <w:t>.</w:t>
      </w:r>
      <w:r w:rsidR="00047708">
        <w:t xml:space="preserve"> </w:t>
      </w:r>
      <w:r w:rsidR="00A4778E">
        <w:t xml:space="preserve"> </w:t>
      </w:r>
      <w:r w:rsidR="00297AB7">
        <w:t>I</w:t>
      </w:r>
      <w:r w:rsidR="00EF60A7">
        <w:t xml:space="preserve">ncreasing the </w:t>
      </w:r>
      <w:r w:rsidR="000A7042">
        <w:t xml:space="preserve">authorized </w:t>
      </w:r>
      <w:r w:rsidR="00EF60A7">
        <w:t>equity ratio</w:t>
      </w:r>
      <w:r w:rsidR="00B77CF6">
        <w:t xml:space="preserve"> </w:t>
      </w:r>
      <w:r w:rsidR="00C11658">
        <w:t xml:space="preserve">used to set rates </w:t>
      </w:r>
      <w:r w:rsidR="00E853C7">
        <w:t xml:space="preserve">to match the </w:t>
      </w:r>
      <w:r w:rsidR="00934F01">
        <w:t xml:space="preserve">equity </w:t>
      </w:r>
      <w:r w:rsidR="00E853C7">
        <w:t>level</w:t>
      </w:r>
      <w:r w:rsidR="000B6920">
        <w:t xml:space="preserve"> at which the business is actually funded </w:t>
      </w:r>
      <w:r w:rsidR="00297AB7">
        <w:t>would be a</w:t>
      </w:r>
      <w:r w:rsidR="00B57141">
        <w:t xml:space="preserve"> credit </w:t>
      </w:r>
      <w:r w:rsidR="00D20BAE">
        <w:t>supportive</w:t>
      </w:r>
      <w:r w:rsidR="00471644">
        <w:t xml:space="preserve"> recommendation</w:t>
      </w:r>
      <w:r w:rsidR="00EF60A7">
        <w:t xml:space="preserve">.  Because increasing the equity ratio has the corresponding effect of reducing the debt ratio, it improves the </w:t>
      </w:r>
      <w:r w:rsidR="00507A2E">
        <w:t xml:space="preserve">quality of the </w:t>
      </w:r>
      <w:r w:rsidR="00D16911">
        <w:t>C</w:t>
      </w:r>
      <w:r w:rsidR="00A06B96">
        <w:t>ompany’s</w:t>
      </w:r>
      <w:r w:rsidR="00507A2E">
        <w:t xml:space="preserve"> credit metrics</w:t>
      </w:r>
      <w:r w:rsidR="00EF60A7">
        <w:t>.</w:t>
      </w:r>
      <w:r w:rsidR="00A0238F" w:rsidRPr="00A0238F">
        <w:t xml:space="preserve"> </w:t>
      </w:r>
      <w:r w:rsidR="0046178F">
        <w:t xml:space="preserve"> Table</w:t>
      </w:r>
      <w:r w:rsidR="0046178F" w:rsidDel="00997F6C">
        <w:t xml:space="preserve"> </w:t>
      </w:r>
      <w:r w:rsidR="002520E1">
        <w:t>JRichert</w:t>
      </w:r>
      <w:r w:rsidR="00F1342C">
        <w:t>-</w:t>
      </w:r>
      <w:r w:rsidR="00DA218B">
        <w:t>8</w:t>
      </w:r>
      <w:r w:rsidR="0046178F">
        <w:t xml:space="preserve"> below is an illustrative example to show how isolating something such as equity layer would lead to higher returns on rate base. </w:t>
      </w:r>
      <w:r w:rsidR="005E2B13">
        <w:t xml:space="preserve"> </w:t>
      </w:r>
      <w:r w:rsidR="0046178F">
        <w:t>This hypothetical example creates an incremental $</w:t>
      </w:r>
      <w:r w:rsidR="00BA7AAD">
        <w:t xml:space="preserve">30 </w:t>
      </w:r>
      <w:r w:rsidR="005E2B13">
        <w:t>million</w:t>
      </w:r>
      <w:r w:rsidR="0046178F">
        <w:t xml:space="preserve"> of generated returns</w:t>
      </w:r>
      <w:r w:rsidR="00297AB7">
        <w:t xml:space="preserve"> to </w:t>
      </w:r>
      <w:r w:rsidR="00806237">
        <w:t>support</w:t>
      </w:r>
      <w:r w:rsidR="00297AB7">
        <w:t xml:space="preserve"> future </w:t>
      </w:r>
      <w:r w:rsidR="00806237">
        <w:t xml:space="preserve">capital </w:t>
      </w:r>
      <w:r w:rsidR="00297AB7">
        <w:t>investment</w:t>
      </w:r>
      <w:r w:rsidR="00806237">
        <w:t>s</w:t>
      </w:r>
      <w:r w:rsidR="005E2B13">
        <w:t>,</w:t>
      </w:r>
      <w:r w:rsidR="0046178F">
        <w:t xml:space="preserve"> which would have the corresponding effect of reducing the incremental debt needs.  </w:t>
      </w:r>
    </w:p>
    <w:p w14:paraId="7BACDC8D" w14:textId="23FEF09D" w:rsidR="0046178F" w:rsidRPr="00725B2A" w:rsidRDefault="0046178F" w:rsidP="00E175EA">
      <w:pPr>
        <w:pStyle w:val="CRAnswer"/>
        <w:keepNext/>
        <w:ind w:left="0" w:firstLine="0"/>
        <w:jc w:val="center"/>
        <w:rPr>
          <w:sz w:val="32"/>
          <w:szCs w:val="32"/>
        </w:rPr>
      </w:pPr>
      <w:r w:rsidRPr="00725B2A">
        <w:rPr>
          <w:b/>
          <w:szCs w:val="32"/>
        </w:rPr>
        <w:t xml:space="preserve">Table </w:t>
      </w:r>
      <w:r w:rsidR="002520E1">
        <w:rPr>
          <w:b/>
          <w:szCs w:val="32"/>
        </w:rPr>
        <w:t>JRichert</w:t>
      </w:r>
      <w:r w:rsidR="00FC7793">
        <w:rPr>
          <w:b/>
          <w:szCs w:val="32"/>
        </w:rPr>
        <w:t>-</w:t>
      </w:r>
      <w:r w:rsidR="00DA218B">
        <w:rPr>
          <w:b/>
          <w:szCs w:val="32"/>
        </w:rPr>
        <w:t>8</w:t>
      </w:r>
      <w:r w:rsidRPr="00725B2A">
        <w:rPr>
          <w:b/>
          <w:szCs w:val="32"/>
        </w:rPr>
        <w:t>: Illustrative Change of Equity Content</w:t>
      </w:r>
      <w:r w:rsidR="003E4383">
        <w:rPr>
          <w:b/>
          <w:szCs w:val="32"/>
        </w:rPr>
        <w:t xml:space="preserve"> (in millions)</w:t>
      </w:r>
      <w:r w:rsidR="007F4124" w:rsidRPr="00725B2A">
        <w:rPr>
          <w:rStyle w:val="FootnoteReference"/>
          <w:b/>
          <w:szCs w:val="32"/>
        </w:rPr>
        <w:footnoteReference w:id="12"/>
      </w:r>
    </w:p>
    <w:tbl>
      <w:tblPr>
        <w:tblW w:w="792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2520"/>
        <w:gridCol w:w="2250"/>
        <w:gridCol w:w="3150"/>
      </w:tblGrid>
      <w:tr w:rsidR="008824BD" w:rsidRPr="00931D57" w14:paraId="4FD61B17" w14:textId="77777777" w:rsidTr="00551690">
        <w:trPr>
          <w:trHeight w:val="261"/>
        </w:trPr>
        <w:tc>
          <w:tcPr>
            <w:tcW w:w="2520" w:type="dxa"/>
            <w:shd w:val="clear" w:color="auto" w:fill="F2F2F2" w:themeFill="background1" w:themeFillShade="F2"/>
            <w:noWrap/>
            <w:vAlign w:val="center"/>
            <w:hideMark/>
          </w:tcPr>
          <w:p w14:paraId="3D499F4B" w14:textId="77777777" w:rsidR="008824BD" w:rsidRPr="00567C16" w:rsidRDefault="008824BD" w:rsidP="00567C16">
            <w:pPr>
              <w:jc w:val="center"/>
              <w:rPr>
                <w:b/>
                <w:bCs/>
                <w:color w:val="000000" w:themeColor="text1"/>
                <w:szCs w:val="24"/>
              </w:rPr>
            </w:pPr>
          </w:p>
        </w:tc>
        <w:tc>
          <w:tcPr>
            <w:tcW w:w="2250" w:type="dxa"/>
            <w:shd w:val="clear" w:color="auto" w:fill="F2F2F2" w:themeFill="background1" w:themeFillShade="F2"/>
            <w:noWrap/>
            <w:vAlign w:val="center"/>
            <w:hideMark/>
          </w:tcPr>
          <w:p w14:paraId="71A68883" w14:textId="6FAB602F" w:rsidR="008824BD" w:rsidRPr="00567C16" w:rsidRDefault="008824BD" w:rsidP="00567C16">
            <w:pPr>
              <w:jc w:val="center"/>
              <w:rPr>
                <w:b/>
                <w:bCs/>
                <w:color w:val="000000" w:themeColor="text1"/>
                <w:szCs w:val="24"/>
              </w:rPr>
            </w:pPr>
            <w:r w:rsidRPr="00567C16">
              <w:rPr>
                <w:b/>
                <w:bCs/>
                <w:color w:val="000000" w:themeColor="text1"/>
                <w:szCs w:val="24"/>
              </w:rPr>
              <w:t>Allowed</w:t>
            </w:r>
            <w:r w:rsidR="007D7632">
              <w:rPr>
                <w:b/>
                <w:bCs/>
                <w:color w:val="000000" w:themeColor="text1"/>
                <w:szCs w:val="24"/>
              </w:rPr>
              <w:t>:</w:t>
            </w:r>
          </w:p>
        </w:tc>
        <w:tc>
          <w:tcPr>
            <w:tcW w:w="3150" w:type="dxa"/>
            <w:shd w:val="clear" w:color="auto" w:fill="F2F2F2" w:themeFill="background1" w:themeFillShade="F2"/>
            <w:noWrap/>
            <w:vAlign w:val="center"/>
            <w:hideMark/>
          </w:tcPr>
          <w:p w14:paraId="7467DEAA" w14:textId="7065AAC4" w:rsidR="008824BD" w:rsidRPr="00567C16" w:rsidRDefault="008824BD" w:rsidP="00567C16">
            <w:pPr>
              <w:jc w:val="center"/>
              <w:rPr>
                <w:b/>
                <w:bCs/>
                <w:color w:val="000000" w:themeColor="text1"/>
                <w:szCs w:val="24"/>
              </w:rPr>
            </w:pPr>
            <w:r w:rsidRPr="00567C16">
              <w:rPr>
                <w:b/>
                <w:bCs/>
                <w:color w:val="000000" w:themeColor="text1"/>
                <w:szCs w:val="24"/>
              </w:rPr>
              <w:t>Updated Equity layer</w:t>
            </w:r>
            <w:r w:rsidR="007D7632">
              <w:rPr>
                <w:b/>
                <w:bCs/>
                <w:color w:val="000000" w:themeColor="text1"/>
                <w:szCs w:val="24"/>
              </w:rPr>
              <w:t>:</w:t>
            </w:r>
          </w:p>
        </w:tc>
      </w:tr>
      <w:tr w:rsidR="008824BD" w:rsidRPr="00931D57" w14:paraId="428C4EE5" w14:textId="77777777" w:rsidTr="00551690">
        <w:trPr>
          <w:trHeight w:val="261"/>
        </w:trPr>
        <w:tc>
          <w:tcPr>
            <w:tcW w:w="2520" w:type="dxa"/>
            <w:shd w:val="clear" w:color="auto" w:fill="auto"/>
            <w:noWrap/>
            <w:vAlign w:val="center"/>
            <w:hideMark/>
          </w:tcPr>
          <w:p w14:paraId="63DA1A98" w14:textId="77777777" w:rsidR="008824BD" w:rsidRPr="00567C16" w:rsidRDefault="008824BD" w:rsidP="00567C16">
            <w:pPr>
              <w:rPr>
                <w:b/>
                <w:bCs/>
                <w:color w:val="000000"/>
                <w:szCs w:val="24"/>
              </w:rPr>
            </w:pPr>
            <w:r w:rsidRPr="00567C16">
              <w:rPr>
                <w:b/>
                <w:bCs/>
                <w:color w:val="000000"/>
                <w:szCs w:val="24"/>
              </w:rPr>
              <w:t>Equity Content</w:t>
            </w:r>
          </w:p>
        </w:tc>
        <w:tc>
          <w:tcPr>
            <w:tcW w:w="2250" w:type="dxa"/>
            <w:shd w:val="clear" w:color="auto" w:fill="auto"/>
            <w:noWrap/>
            <w:vAlign w:val="center"/>
            <w:hideMark/>
          </w:tcPr>
          <w:p w14:paraId="568251F4" w14:textId="77777777" w:rsidR="008824BD" w:rsidRPr="00931D57" w:rsidRDefault="008824BD" w:rsidP="00384BA8">
            <w:pPr>
              <w:jc w:val="center"/>
              <w:rPr>
                <w:color w:val="000000"/>
                <w:szCs w:val="24"/>
              </w:rPr>
            </w:pPr>
            <w:r w:rsidRPr="00931D57">
              <w:rPr>
                <w:color w:val="000000"/>
                <w:szCs w:val="24"/>
              </w:rPr>
              <w:t>42.5%</w:t>
            </w:r>
          </w:p>
        </w:tc>
        <w:tc>
          <w:tcPr>
            <w:tcW w:w="3150" w:type="dxa"/>
            <w:shd w:val="clear" w:color="auto" w:fill="auto"/>
            <w:noWrap/>
            <w:vAlign w:val="center"/>
            <w:hideMark/>
          </w:tcPr>
          <w:p w14:paraId="6509C30A" w14:textId="7BD35A54" w:rsidR="008824BD" w:rsidRPr="00551690" w:rsidRDefault="00335980" w:rsidP="00384BA8">
            <w:pPr>
              <w:jc w:val="center"/>
              <w:rPr>
                <w:bCs/>
                <w:color w:val="000000"/>
                <w:szCs w:val="24"/>
              </w:rPr>
            </w:pPr>
            <w:r w:rsidRPr="00551690">
              <w:rPr>
                <w:bCs/>
                <w:color w:val="000000"/>
                <w:szCs w:val="24"/>
              </w:rPr>
              <w:t>45%</w:t>
            </w:r>
          </w:p>
        </w:tc>
      </w:tr>
      <w:tr w:rsidR="008824BD" w:rsidRPr="00931D57" w14:paraId="5315EBB8" w14:textId="77777777" w:rsidTr="00551690">
        <w:trPr>
          <w:trHeight w:val="261"/>
        </w:trPr>
        <w:tc>
          <w:tcPr>
            <w:tcW w:w="2520" w:type="dxa"/>
            <w:shd w:val="clear" w:color="auto" w:fill="auto"/>
            <w:noWrap/>
            <w:vAlign w:val="center"/>
            <w:hideMark/>
          </w:tcPr>
          <w:p w14:paraId="1BBB6F20" w14:textId="77777777" w:rsidR="008824BD" w:rsidRPr="00567C16" w:rsidRDefault="008824BD" w:rsidP="00567C16">
            <w:pPr>
              <w:rPr>
                <w:b/>
                <w:bCs/>
                <w:color w:val="000000"/>
                <w:szCs w:val="24"/>
              </w:rPr>
            </w:pPr>
            <w:r w:rsidRPr="00567C16">
              <w:rPr>
                <w:b/>
                <w:bCs/>
                <w:color w:val="000000"/>
                <w:szCs w:val="24"/>
              </w:rPr>
              <w:t>ROE</w:t>
            </w:r>
          </w:p>
        </w:tc>
        <w:tc>
          <w:tcPr>
            <w:tcW w:w="2250" w:type="dxa"/>
            <w:shd w:val="clear" w:color="auto" w:fill="auto"/>
            <w:noWrap/>
            <w:vAlign w:val="center"/>
            <w:hideMark/>
          </w:tcPr>
          <w:p w14:paraId="02FE204D" w14:textId="77777777" w:rsidR="008824BD" w:rsidRPr="00931D57" w:rsidRDefault="008824BD" w:rsidP="00384BA8">
            <w:pPr>
              <w:jc w:val="center"/>
              <w:rPr>
                <w:color w:val="000000"/>
                <w:szCs w:val="24"/>
              </w:rPr>
            </w:pPr>
            <w:r w:rsidRPr="00931D57">
              <w:rPr>
                <w:color w:val="000000"/>
                <w:szCs w:val="24"/>
              </w:rPr>
              <w:t>9.4%</w:t>
            </w:r>
          </w:p>
        </w:tc>
        <w:tc>
          <w:tcPr>
            <w:tcW w:w="3150" w:type="dxa"/>
            <w:shd w:val="clear" w:color="auto" w:fill="auto"/>
            <w:noWrap/>
            <w:vAlign w:val="center"/>
            <w:hideMark/>
          </w:tcPr>
          <w:p w14:paraId="6264E0EE" w14:textId="77777777" w:rsidR="008824BD" w:rsidRPr="00551690" w:rsidRDefault="008824BD" w:rsidP="00384BA8">
            <w:pPr>
              <w:jc w:val="center"/>
              <w:rPr>
                <w:bCs/>
                <w:color w:val="000000"/>
                <w:szCs w:val="24"/>
              </w:rPr>
            </w:pPr>
            <w:r w:rsidRPr="00551690">
              <w:rPr>
                <w:bCs/>
                <w:color w:val="000000"/>
                <w:szCs w:val="24"/>
              </w:rPr>
              <w:t>9.4%</w:t>
            </w:r>
          </w:p>
        </w:tc>
      </w:tr>
      <w:tr w:rsidR="008824BD" w:rsidRPr="00931D57" w14:paraId="0F20C37B" w14:textId="77777777" w:rsidTr="00551690">
        <w:trPr>
          <w:trHeight w:val="300"/>
        </w:trPr>
        <w:tc>
          <w:tcPr>
            <w:tcW w:w="2520" w:type="dxa"/>
            <w:shd w:val="clear" w:color="auto" w:fill="auto"/>
            <w:noWrap/>
            <w:vAlign w:val="center"/>
            <w:hideMark/>
          </w:tcPr>
          <w:p w14:paraId="2FD98936" w14:textId="449D8310" w:rsidR="008824BD" w:rsidRPr="00567C16" w:rsidRDefault="00BA7AAD" w:rsidP="00567C16">
            <w:pPr>
              <w:rPr>
                <w:b/>
                <w:bCs/>
                <w:color w:val="000000"/>
                <w:szCs w:val="24"/>
              </w:rPr>
            </w:pPr>
            <w:r>
              <w:rPr>
                <w:b/>
                <w:color w:val="000000"/>
                <w:szCs w:val="24"/>
              </w:rPr>
              <w:t>Capital</w:t>
            </w:r>
            <w:r w:rsidR="008824BD" w:rsidRPr="00567C16">
              <w:rPr>
                <w:b/>
                <w:bCs/>
                <w:color w:val="000000"/>
                <w:szCs w:val="24"/>
              </w:rPr>
              <w:t xml:space="preserve"> (in millions) </w:t>
            </w:r>
          </w:p>
        </w:tc>
        <w:tc>
          <w:tcPr>
            <w:tcW w:w="2250" w:type="dxa"/>
            <w:shd w:val="clear" w:color="auto" w:fill="auto"/>
            <w:noWrap/>
            <w:vAlign w:val="center"/>
            <w:hideMark/>
          </w:tcPr>
          <w:p w14:paraId="5A847225" w14:textId="7888F8AF" w:rsidR="008824BD" w:rsidRPr="00931D57" w:rsidRDefault="003A7FD6" w:rsidP="00384BA8">
            <w:pPr>
              <w:jc w:val="center"/>
              <w:rPr>
                <w:color w:val="000000"/>
                <w:szCs w:val="24"/>
              </w:rPr>
            </w:pPr>
            <w:r>
              <w:rPr>
                <w:color w:val="000000"/>
                <w:szCs w:val="24"/>
              </w:rPr>
              <w:t>$</w:t>
            </w:r>
            <w:r w:rsidRPr="003A7FD6">
              <w:rPr>
                <w:color w:val="000000"/>
                <w:szCs w:val="24"/>
              </w:rPr>
              <w:t>12</w:t>
            </w:r>
            <w:r>
              <w:rPr>
                <w:color w:val="000000"/>
                <w:szCs w:val="24"/>
              </w:rPr>
              <w:t>,</w:t>
            </w:r>
            <w:r w:rsidRPr="003A7FD6">
              <w:rPr>
                <w:color w:val="000000"/>
                <w:szCs w:val="24"/>
              </w:rPr>
              <w:t>79</w:t>
            </w:r>
            <w:r w:rsidR="0010434F">
              <w:rPr>
                <w:color w:val="000000"/>
                <w:szCs w:val="24"/>
              </w:rPr>
              <w:t>4</w:t>
            </w:r>
          </w:p>
        </w:tc>
        <w:tc>
          <w:tcPr>
            <w:tcW w:w="3150" w:type="dxa"/>
            <w:shd w:val="clear" w:color="auto" w:fill="auto"/>
            <w:noWrap/>
            <w:vAlign w:val="center"/>
            <w:hideMark/>
          </w:tcPr>
          <w:p w14:paraId="167B3158" w14:textId="348D89B4" w:rsidR="008824BD" w:rsidRPr="00931D57" w:rsidRDefault="003A7FD6" w:rsidP="00384BA8">
            <w:pPr>
              <w:jc w:val="center"/>
              <w:rPr>
                <w:color w:val="000000"/>
                <w:szCs w:val="24"/>
              </w:rPr>
            </w:pPr>
            <w:r>
              <w:rPr>
                <w:color w:val="000000"/>
                <w:szCs w:val="24"/>
              </w:rPr>
              <w:t>$</w:t>
            </w:r>
            <w:r w:rsidRPr="003A7FD6">
              <w:rPr>
                <w:color w:val="000000"/>
                <w:szCs w:val="24"/>
              </w:rPr>
              <w:t>12</w:t>
            </w:r>
            <w:r>
              <w:rPr>
                <w:color w:val="000000"/>
                <w:szCs w:val="24"/>
              </w:rPr>
              <w:t>,</w:t>
            </w:r>
            <w:r w:rsidRPr="003A7FD6">
              <w:rPr>
                <w:color w:val="000000"/>
                <w:szCs w:val="24"/>
              </w:rPr>
              <w:t>79</w:t>
            </w:r>
            <w:r w:rsidR="0010434F">
              <w:rPr>
                <w:color w:val="000000"/>
                <w:szCs w:val="24"/>
              </w:rPr>
              <w:t>4</w:t>
            </w:r>
          </w:p>
        </w:tc>
      </w:tr>
      <w:tr w:rsidR="008824BD" w:rsidRPr="00931D57" w14:paraId="65AE5A79" w14:textId="77777777" w:rsidTr="00551690">
        <w:trPr>
          <w:trHeight w:val="261"/>
        </w:trPr>
        <w:tc>
          <w:tcPr>
            <w:tcW w:w="2520" w:type="dxa"/>
            <w:tcBorders>
              <w:bottom w:val="single" w:sz="4" w:space="0" w:color="auto"/>
            </w:tcBorders>
            <w:shd w:val="clear" w:color="auto" w:fill="auto"/>
            <w:noWrap/>
            <w:vAlign w:val="center"/>
            <w:hideMark/>
          </w:tcPr>
          <w:p w14:paraId="20AE2FAD" w14:textId="5304CD52" w:rsidR="008824BD" w:rsidRPr="00567C16" w:rsidRDefault="0046178F" w:rsidP="00567C16">
            <w:pPr>
              <w:rPr>
                <w:b/>
                <w:bCs/>
                <w:color w:val="000000"/>
                <w:szCs w:val="24"/>
              </w:rPr>
            </w:pPr>
            <w:r w:rsidRPr="00567C16">
              <w:rPr>
                <w:b/>
                <w:color w:val="000000"/>
                <w:szCs w:val="24"/>
              </w:rPr>
              <w:t xml:space="preserve">Return on </w:t>
            </w:r>
            <w:r w:rsidR="00BA7AAD">
              <w:rPr>
                <w:b/>
                <w:bCs/>
                <w:color w:val="000000"/>
                <w:szCs w:val="24"/>
              </w:rPr>
              <w:t>Investment</w:t>
            </w:r>
          </w:p>
        </w:tc>
        <w:tc>
          <w:tcPr>
            <w:tcW w:w="2250" w:type="dxa"/>
            <w:tcBorders>
              <w:bottom w:val="single" w:sz="4" w:space="0" w:color="auto"/>
            </w:tcBorders>
            <w:shd w:val="clear" w:color="auto" w:fill="auto"/>
            <w:noWrap/>
            <w:vAlign w:val="center"/>
            <w:hideMark/>
          </w:tcPr>
          <w:p w14:paraId="68BCBE36" w14:textId="7A45B128" w:rsidR="008824BD" w:rsidRPr="00931D57" w:rsidRDefault="008824BD" w:rsidP="00384BA8">
            <w:pPr>
              <w:jc w:val="center"/>
              <w:rPr>
                <w:color w:val="000000"/>
                <w:szCs w:val="24"/>
              </w:rPr>
            </w:pPr>
            <w:r>
              <w:rPr>
                <w:color w:val="000000"/>
                <w:szCs w:val="24"/>
              </w:rPr>
              <w:t>$</w:t>
            </w:r>
            <w:r w:rsidR="003A7FD6">
              <w:rPr>
                <w:color w:val="000000"/>
                <w:szCs w:val="24"/>
              </w:rPr>
              <w:t>511</w:t>
            </w:r>
          </w:p>
        </w:tc>
        <w:tc>
          <w:tcPr>
            <w:tcW w:w="3150" w:type="dxa"/>
            <w:tcBorders>
              <w:bottom w:val="single" w:sz="4" w:space="0" w:color="auto"/>
            </w:tcBorders>
            <w:shd w:val="clear" w:color="auto" w:fill="auto"/>
            <w:noWrap/>
            <w:vAlign w:val="center"/>
            <w:hideMark/>
          </w:tcPr>
          <w:p w14:paraId="64673021" w14:textId="5EAA3AB9" w:rsidR="008824BD" w:rsidRPr="00931D57" w:rsidRDefault="008824BD" w:rsidP="00384BA8">
            <w:pPr>
              <w:jc w:val="center"/>
              <w:rPr>
                <w:color w:val="000000"/>
                <w:szCs w:val="24"/>
              </w:rPr>
            </w:pPr>
            <w:r>
              <w:rPr>
                <w:color w:val="000000"/>
                <w:szCs w:val="24"/>
              </w:rPr>
              <w:t>$</w:t>
            </w:r>
            <w:r w:rsidR="003A7FD6">
              <w:rPr>
                <w:color w:val="000000"/>
                <w:szCs w:val="24"/>
              </w:rPr>
              <w:t>541</w:t>
            </w:r>
          </w:p>
        </w:tc>
      </w:tr>
      <w:tr w:rsidR="008824BD" w:rsidRPr="00931D57" w14:paraId="535B577B" w14:textId="77777777" w:rsidTr="00551690">
        <w:trPr>
          <w:trHeight w:val="261"/>
        </w:trPr>
        <w:tc>
          <w:tcPr>
            <w:tcW w:w="47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BA4623" w14:textId="25DA747E" w:rsidR="008824BD" w:rsidRDefault="008824BD" w:rsidP="008824BD">
            <w:pPr>
              <w:rPr>
                <w:color w:val="000000"/>
                <w:szCs w:val="24"/>
              </w:rPr>
            </w:pPr>
            <w:r>
              <w:rPr>
                <w:b/>
                <w:bCs/>
                <w:color w:val="000000"/>
                <w:szCs w:val="24"/>
              </w:rPr>
              <w:t>Change in Return</w:t>
            </w:r>
            <w:r w:rsidR="00CD3475">
              <w:rPr>
                <w:b/>
                <w:bCs/>
                <w:color w:val="000000"/>
                <w:szCs w:val="24"/>
              </w:rPr>
              <w:t>:</w:t>
            </w:r>
          </w:p>
        </w:tc>
        <w:tc>
          <w:tcPr>
            <w:tcW w:w="31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1A248" w14:textId="4847EA4D" w:rsidR="008824BD" w:rsidRPr="00384BA8" w:rsidRDefault="008824BD" w:rsidP="00384BA8">
            <w:pPr>
              <w:jc w:val="center"/>
              <w:rPr>
                <w:b/>
                <w:color w:val="000000"/>
                <w:szCs w:val="24"/>
              </w:rPr>
            </w:pPr>
            <w:r w:rsidRPr="00384BA8">
              <w:rPr>
                <w:b/>
                <w:color w:val="000000"/>
                <w:szCs w:val="24"/>
              </w:rPr>
              <w:t>+$</w:t>
            </w:r>
            <w:r w:rsidR="00BA7AAD" w:rsidRPr="00384BA8">
              <w:rPr>
                <w:b/>
                <w:bCs/>
                <w:color w:val="000000"/>
                <w:szCs w:val="24"/>
              </w:rPr>
              <w:t>30</w:t>
            </w:r>
          </w:p>
        </w:tc>
      </w:tr>
    </w:tbl>
    <w:p w14:paraId="2E0764B4" w14:textId="1F01FDF7" w:rsidR="00F0407D" w:rsidRPr="001D0A5F" w:rsidRDefault="00F0407D" w:rsidP="001D0A5F">
      <w:pPr>
        <w:pStyle w:val="CRQuestion"/>
        <w:spacing w:before="240"/>
      </w:pPr>
      <w:r w:rsidRPr="001D0A5F">
        <w:lastRenderedPageBreak/>
        <w:t>Q.</w:t>
      </w:r>
      <w:r w:rsidRPr="001D0A5F">
        <w:tab/>
      </w:r>
      <w:r w:rsidR="00372E4A" w:rsidRPr="001D0A5F">
        <w:t xml:space="preserve">How can </w:t>
      </w:r>
      <w:r w:rsidR="000D3095" w:rsidRPr="001D0A5F">
        <w:t xml:space="preserve">CENTERPOINT HOUSTON DEMONSTRATE THAT </w:t>
      </w:r>
      <w:r w:rsidR="00CB1D86">
        <w:t xml:space="preserve">THE </w:t>
      </w:r>
      <w:r w:rsidR="005C18A0" w:rsidRPr="001D0A5F">
        <w:t xml:space="preserve">EQUITY RatIO DECIDED BY </w:t>
      </w:r>
      <w:r w:rsidR="00372E4A" w:rsidRPr="001D0A5F">
        <w:t xml:space="preserve">the </w:t>
      </w:r>
      <w:r w:rsidR="000D3095" w:rsidRPr="001D0A5F">
        <w:t xml:space="preserve">COMMISSION </w:t>
      </w:r>
      <w:r w:rsidR="005C18A0" w:rsidRPr="001D0A5F">
        <w:t>impacts credit ratings?</w:t>
      </w:r>
    </w:p>
    <w:p w14:paraId="6BA4F6E1" w14:textId="47029611" w:rsidR="005C18A0" w:rsidRDefault="00F0407D" w:rsidP="003569FD">
      <w:pPr>
        <w:pStyle w:val="CRAnswer"/>
      </w:pPr>
      <w:r w:rsidRPr="00114260">
        <w:t>A.</w:t>
      </w:r>
      <w:r w:rsidRPr="00114260">
        <w:tab/>
      </w:r>
      <w:r w:rsidR="00BD0B80">
        <w:t>As previously mentioned in my testimony, both Moody’s and Fitch</w:t>
      </w:r>
      <w:r w:rsidR="00717B78">
        <w:t xml:space="preserve"> lowered CenterPoint Houston’s issuer rating during or shortly after the conclusion of CenterPoint Houston’s last rate case in Docket No. 49421.</w:t>
      </w:r>
      <w:r w:rsidR="00BD0B80">
        <w:t xml:space="preserve"> </w:t>
      </w:r>
      <w:r w:rsidR="00717B78">
        <w:t xml:space="preserve"> </w:t>
      </w:r>
      <w:r w:rsidR="005C18A0">
        <w:t xml:space="preserve">In </w:t>
      </w:r>
      <w:r w:rsidR="00E175EA">
        <w:t>E</w:t>
      </w:r>
      <w:r w:rsidR="005C18A0" w:rsidRPr="00EF24F7">
        <w:t xml:space="preserve">xhibit </w:t>
      </w:r>
      <w:r w:rsidR="002520E1">
        <w:t>JRichert</w:t>
      </w:r>
      <w:r w:rsidR="005027A0">
        <w:noBreakHyphen/>
      </w:r>
      <w:r w:rsidR="00DA6D98">
        <w:t>5(CONF)</w:t>
      </w:r>
      <w:r w:rsidR="00D409FD">
        <w:t>, which is a</w:t>
      </w:r>
      <w:r w:rsidR="005C18A0">
        <w:t xml:space="preserve"> Moody’s report dated March 4, 2020</w:t>
      </w:r>
      <w:r w:rsidR="009271D3">
        <w:t>,</w:t>
      </w:r>
      <w:r w:rsidR="005C18A0">
        <w:t xml:space="preserve"> </w:t>
      </w:r>
      <w:r w:rsidR="00DA6D98">
        <w:t>Moody’s</w:t>
      </w:r>
      <w:r w:rsidR="005C18A0">
        <w:t xml:space="preserve"> downgraded </w:t>
      </w:r>
      <w:r w:rsidR="00226C43">
        <w:t>CenterPoint Houston’s</w:t>
      </w:r>
      <w:r w:rsidR="005C18A0">
        <w:t xml:space="preserve"> </w:t>
      </w:r>
      <w:r w:rsidR="00277518">
        <w:t xml:space="preserve">senior </w:t>
      </w:r>
      <w:r w:rsidR="005C18A0">
        <w:t xml:space="preserve">secured rating to A2 from A1. </w:t>
      </w:r>
      <w:r w:rsidR="00226C43">
        <w:t xml:space="preserve"> </w:t>
      </w:r>
      <w:r w:rsidR="005C18A0">
        <w:t>In</w:t>
      </w:r>
      <w:r w:rsidR="00466E61">
        <w:t xml:space="preserve"> its</w:t>
      </w:r>
      <w:r w:rsidR="005C18A0">
        <w:t xml:space="preserve"> report, </w:t>
      </w:r>
      <w:r w:rsidR="00466E61">
        <w:t>Moody’s</w:t>
      </w:r>
      <w:r w:rsidR="005C18A0">
        <w:t xml:space="preserve"> </w:t>
      </w:r>
      <w:r w:rsidR="000659CA">
        <w:t>stated</w:t>
      </w:r>
      <w:r w:rsidR="005C18A0">
        <w:t>:</w:t>
      </w:r>
    </w:p>
    <w:p w14:paraId="017D73ED" w14:textId="54635D36" w:rsidR="005C18A0" w:rsidRDefault="00323B98" w:rsidP="00366191">
      <w:pPr>
        <w:ind w:left="1440" w:right="720"/>
        <w:jc w:val="both"/>
      </w:pPr>
      <w:r>
        <w:t>‘</w:t>
      </w:r>
      <w:r w:rsidR="00774005">
        <w:t>…</w:t>
      </w:r>
      <w:r w:rsidR="005C18A0">
        <w:t>CEHE’s ratio of cash flow pre-working capital to debt ratio is falling to the 15% to 16% range, down from around 19% historically</w:t>
      </w:r>
      <w:r w:rsidR="00366191">
        <w:t xml:space="preserve"> . . . .</w:t>
      </w:r>
      <w:r w:rsidR="0081268B">
        <w:t>’</w:t>
      </w:r>
      <w:r w:rsidR="00366191">
        <w:t xml:space="preserve"> </w:t>
      </w:r>
      <w:r w:rsidR="005C18A0">
        <w:t xml:space="preserve">In addition, CEHE’s approved stipulation of settlement </w:t>
      </w:r>
      <w:r w:rsidR="00B37D45">
        <w:t>…</w:t>
      </w:r>
      <w:r w:rsidR="005C18A0">
        <w:t>includes a ROE and equity layer of 9.4% and 42.5%, respectively. This is lower than CEHE’s previous 10% ROE and 45% equity la</w:t>
      </w:r>
      <w:r w:rsidR="00076CA6">
        <w:t>y</w:t>
      </w:r>
      <w:r w:rsidR="005C18A0">
        <w:t>er, all resulting in lower cash flow and a higher debt capitalization</w:t>
      </w:r>
      <w:r w:rsidR="00510C27">
        <w:t>.</w:t>
      </w:r>
    </w:p>
    <w:p w14:paraId="2695A71F" w14:textId="725F4676" w:rsidR="005923CA" w:rsidRPr="00B06FA4" w:rsidRDefault="005923CA" w:rsidP="00E175EA">
      <w:pPr>
        <w:pStyle w:val="CROutline2"/>
        <w:keepNext/>
        <w:spacing w:before="240"/>
      </w:pPr>
      <w:bookmarkStart w:id="39" w:name="_Toc159433765"/>
      <w:bookmarkStart w:id="40" w:name="_Toc159434279"/>
      <w:r w:rsidRPr="00B06FA4">
        <w:t xml:space="preserve">Need for a </w:t>
      </w:r>
      <w:r w:rsidRPr="000F2C38">
        <w:t>Capital Structure that Supports an A</w:t>
      </w:r>
      <w:r w:rsidR="00013897">
        <w:t>3</w:t>
      </w:r>
      <w:r w:rsidRPr="000F2C38">
        <w:t xml:space="preserve"> </w:t>
      </w:r>
      <w:r>
        <w:t>Issuer</w:t>
      </w:r>
      <w:bookmarkEnd w:id="39"/>
      <w:bookmarkEnd w:id="40"/>
    </w:p>
    <w:p w14:paraId="563917BE" w14:textId="2207FFA4" w:rsidR="005923CA" w:rsidRDefault="005923CA" w:rsidP="00366191">
      <w:pPr>
        <w:pStyle w:val="CRQuestion"/>
      </w:pPr>
      <w:r>
        <w:t>Q.</w:t>
      </w:r>
      <w:r>
        <w:tab/>
        <w:t>IS AN A</w:t>
      </w:r>
      <w:r w:rsidR="00013897">
        <w:t>3</w:t>
      </w:r>
      <w:r>
        <w:t xml:space="preserve"> ISSUER RATING APPROPRIATE FOR </w:t>
      </w:r>
      <w:r w:rsidRPr="003222E5">
        <w:t>CENTERPOINT HOUSTON</w:t>
      </w:r>
      <w:r>
        <w:t>?</w:t>
      </w:r>
    </w:p>
    <w:p w14:paraId="07DFA3E6" w14:textId="6C959A8F" w:rsidR="0086185D" w:rsidRDefault="00366191" w:rsidP="00366191">
      <w:pPr>
        <w:pStyle w:val="CRAnswer"/>
      </w:pPr>
      <w:r>
        <w:t>A.</w:t>
      </w:r>
      <w:r>
        <w:tab/>
      </w:r>
      <w:r w:rsidR="008845B3">
        <w:t>My earlier testimony</w:t>
      </w:r>
      <w:r w:rsidR="003643E3">
        <w:t xml:space="preserve"> described cost </w:t>
      </w:r>
      <w:r w:rsidR="008E0FA1">
        <w:t>of debt</w:t>
      </w:r>
      <w:r w:rsidR="00AC3E2D">
        <w:t xml:space="preserve"> </w:t>
      </w:r>
      <w:r w:rsidR="00CC1AEF">
        <w:t>disparity between credit ratings.</w:t>
      </w:r>
      <w:r w:rsidR="009B4FD8">
        <w:t xml:space="preserve"> A higher rating translates to lower costs</w:t>
      </w:r>
      <w:r w:rsidR="0045381D">
        <w:t xml:space="preserve"> as illustrated in </w:t>
      </w:r>
      <w:r w:rsidR="00076CA6">
        <w:t>T</w:t>
      </w:r>
      <w:r w:rsidR="0045381D">
        <w:t>able</w:t>
      </w:r>
      <w:r w:rsidR="00913953">
        <w:t>s</w:t>
      </w:r>
      <w:r w:rsidR="0045381D">
        <w:t xml:space="preserve"> </w:t>
      </w:r>
      <w:r w:rsidR="002520E1">
        <w:t>JRichert</w:t>
      </w:r>
      <w:r w:rsidR="00F1342C">
        <w:t>-</w:t>
      </w:r>
      <w:r w:rsidR="00DA218B">
        <w:t>4</w:t>
      </w:r>
      <w:r w:rsidR="0045381D">
        <w:t xml:space="preserve"> and </w:t>
      </w:r>
      <w:r w:rsidR="002520E1">
        <w:t>JRichert</w:t>
      </w:r>
      <w:r w:rsidR="00F1342C">
        <w:t>-</w:t>
      </w:r>
      <w:r w:rsidR="00DA218B">
        <w:t>6</w:t>
      </w:r>
      <w:r w:rsidR="00164991">
        <w:t xml:space="preserve">. </w:t>
      </w:r>
      <w:r w:rsidR="003A47A6">
        <w:t xml:space="preserve"> I </w:t>
      </w:r>
      <w:r w:rsidR="0047484E">
        <w:t>a</w:t>
      </w:r>
      <w:r w:rsidR="00693E25">
        <w:t>lso described the market access afforded to higher rated credit.</w:t>
      </w:r>
      <w:r w:rsidR="00CC1AEF">
        <w:t xml:space="preserve"> </w:t>
      </w:r>
      <w:r w:rsidR="005923CA">
        <w:t xml:space="preserve">It is in the public interest for CenterPoint Houston to be in a position to borrow funds on reasonable terms under any circumstances that may arise in the future </w:t>
      </w:r>
      <w:r w:rsidR="0086185D">
        <w:t>given the recent experience of turbulent market environment</w:t>
      </w:r>
      <w:r w:rsidR="005923CA">
        <w:t>.</w:t>
      </w:r>
      <w:r w:rsidR="00433A8E">
        <w:t xml:space="preserve"> </w:t>
      </w:r>
      <w:r w:rsidR="005923CA">
        <w:t xml:space="preserve">Solid financial integrity is a critical component of CenterPoint Houston’s ability to address the ongoing </w:t>
      </w:r>
      <w:r w:rsidR="001066F3">
        <w:t>funding needs</w:t>
      </w:r>
      <w:r w:rsidR="005923CA">
        <w:t xml:space="preserve"> associated with providing reliable electric service</w:t>
      </w:r>
      <w:r w:rsidR="00711493">
        <w:t xml:space="preserve"> as described </w:t>
      </w:r>
      <w:r w:rsidR="00693E25">
        <w:t>earlier</w:t>
      </w:r>
      <w:r w:rsidR="00711493">
        <w:t xml:space="preserve"> and in </w:t>
      </w:r>
      <w:r w:rsidR="00E47E32">
        <w:lastRenderedPageBreak/>
        <w:t xml:space="preserve">the Direct Testimony of Jason M. </w:t>
      </w:r>
      <w:r w:rsidR="006E420A">
        <w:t>Ryan</w:t>
      </w:r>
      <w:r w:rsidR="005923CA">
        <w:t xml:space="preserve">. </w:t>
      </w:r>
      <w:r w:rsidR="00433A8E">
        <w:t xml:space="preserve"> </w:t>
      </w:r>
      <w:r w:rsidR="005923CA">
        <w:t xml:space="preserve">CenterPoint Houston routinely needs access to the debt capital markets at reasonable rates in order to finance its </w:t>
      </w:r>
      <w:r w:rsidR="00B11C17">
        <w:t xml:space="preserve">future </w:t>
      </w:r>
      <w:r w:rsidR="005923CA">
        <w:t xml:space="preserve">capital </w:t>
      </w:r>
      <w:r w:rsidR="00B11C17">
        <w:t xml:space="preserve">investments </w:t>
      </w:r>
      <w:r w:rsidR="005923CA">
        <w:t xml:space="preserve">and refinance </w:t>
      </w:r>
      <w:r w:rsidR="0072674B">
        <w:t xml:space="preserve">the </w:t>
      </w:r>
      <w:r w:rsidR="0045381D">
        <w:t xml:space="preserve">approximately </w:t>
      </w:r>
      <w:r w:rsidR="0072674B">
        <w:t>$</w:t>
      </w:r>
      <w:r w:rsidR="00196D35">
        <w:t xml:space="preserve">7 billion of </w:t>
      </w:r>
      <w:r w:rsidR="00DE66E3">
        <w:t xml:space="preserve">existing </w:t>
      </w:r>
      <w:r w:rsidR="00196D35">
        <w:t>long</w:t>
      </w:r>
      <w:r w:rsidR="00076CA6">
        <w:t>-term</w:t>
      </w:r>
      <w:r w:rsidR="005923CA">
        <w:t xml:space="preserve"> debt</w:t>
      </w:r>
      <w:r w:rsidR="00196D35">
        <w:t xml:space="preserve"> </w:t>
      </w:r>
      <w:r w:rsidR="00DE66E3">
        <w:t>that will mature over time.</w:t>
      </w:r>
      <w:r w:rsidR="005923CA">
        <w:t xml:space="preserve"> CenterPoint Houston may</w:t>
      </w:r>
      <w:r w:rsidR="00DE66E3">
        <w:t xml:space="preserve"> also</w:t>
      </w:r>
      <w:r w:rsidR="005923CA">
        <w:t>, from time to time, need to access the debt capital markets for unexpected needs such as system restoration costs following a hurricane.  These unexpected needs could occur at inopportune times when the financial markets are not robust, and CenterPoint Houston may not have adequate liquidity reserves</w:t>
      </w:r>
      <w:r w:rsidR="00CA3ED5">
        <w:t>,</w:t>
      </w:r>
      <w:r w:rsidR="00DE66E3">
        <w:t xml:space="preserve"> or parent </w:t>
      </w:r>
      <w:r w:rsidR="00CA3ED5">
        <w:t>support,</w:t>
      </w:r>
      <w:r w:rsidR="005923CA">
        <w:t xml:space="preserve"> to wait for improved market conditions.  Accordingly, I believe it is appropriate for CenterPoint Houston to attain and maintain </w:t>
      </w:r>
      <w:r w:rsidR="00D52CAF">
        <w:t>its prior</w:t>
      </w:r>
      <w:r w:rsidR="001A46F0">
        <w:t xml:space="preserve"> </w:t>
      </w:r>
      <w:r w:rsidR="005923CA">
        <w:t>A</w:t>
      </w:r>
      <w:r w:rsidR="00013897">
        <w:t>3</w:t>
      </w:r>
      <w:r w:rsidR="001A46F0">
        <w:t xml:space="preserve"> </w:t>
      </w:r>
      <w:r w:rsidR="00D52CAF">
        <w:t xml:space="preserve">issuer rating at </w:t>
      </w:r>
      <w:r w:rsidR="001A46F0">
        <w:t xml:space="preserve">Moody’s </w:t>
      </w:r>
      <w:r w:rsidR="00D52CAF">
        <w:t xml:space="preserve">and </w:t>
      </w:r>
      <w:r w:rsidR="001A46F0">
        <w:t xml:space="preserve">S&amp;P/Fitch equivalent </w:t>
      </w:r>
      <w:r w:rsidR="005923CA">
        <w:t xml:space="preserve">rating </w:t>
      </w:r>
      <w:r w:rsidR="001A46F0">
        <w:t>or better</w:t>
      </w:r>
      <w:r w:rsidR="005923CA">
        <w:t>.</w:t>
      </w:r>
      <w:r w:rsidR="006E6B3A">
        <w:t xml:space="preserve"> </w:t>
      </w:r>
      <w:r w:rsidR="00433A8E">
        <w:t xml:space="preserve"> </w:t>
      </w:r>
    </w:p>
    <w:p w14:paraId="3E86F5F8" w14:textId="66146EDE" w:rsidR="00382EB9" w:rsidRDefault="0086185D" w:rsidP="00433A8E">
      <w:pPr>
        <w:pStyle w:val="CRQuestion"/>
      </w:pPr>
      <w:r>
        <w:t>Q.</w:t>
      </w:r>
      <w:r>
        <w:tab/>
      </w:r>
      <w:r w:rsidR="00624A63" w:rsidRPr="00180C29">
        <w:t xml:space="preserve">WOULD THE PROPOSED </w:t>
      </w:r>
      <w:r w:rsidR="008F709A">
        <w:t>44.90</w:t>
      </w:r>
      <w:r w:rsidR="00624A63" w:rsidRPr="00180C29">
        <w:t>% EQUITY RAT</w:t>
      </w:r>
      <w:r w:rsidR="00076CA6">
        <w:t>I</w:t>
      </w:r>
      <w:r w:rsidR="00624A63" w:rsidRPr="00180C29">
        <w:t xml:space="preserve">O AND </w:t>
      </w:r>
      <w:r w:rsidR="00624A63" w:rsidRPr="00384BA8">
        <w:t>10.</w:t>
      </w:r>
      <w:r w:rsidR="005671AE">
        <w:t>4</w:t>
      </w:r>
      <w:r w:rsidR="00433A8E" w:rsidRPr="0045381D">
        <w:t>%</w:t>
      </w:r>
      <w:r w:rsidR="00624A63" w:rsidRPr="00180C29">
        <w:t xml:space="preserve"> ROE IMPROVE THE PROJECTED FFO/DEBT RATIO ENOUGH TO IMPROVE THE </w:t>
      </w:r>
      <w:r w:rsidR="0048161F">
        <w:t>COMPANY’S</w:t>
      </w:r>
      <w:r w:rsidR="00624A63" w:rsidRPr="00180C29">
        <w:t xml:space="preserve"> CREDIT RATING?</w:t>
      </w:r>
    </w:p>
    <w:p w14:paraId="5005CC57" w14:textId="793F3DF8" w:rsidR="00AC65BF" w:rsidRDefault="00382EB9" w:rsidP="00456AB2">
      <w:pPr>
        <w:pStyle w:val="CRAnswer"/>
      </w:pPr>
      <w:r>
        <w:t>A.</w:t>
      </w:r>
      <w:r>
        <w:tab/>
      </w:r>
      <w:r w:rsidR="00AC65BF">
        <w:t xml:space="preserve">According to the Moody’s report </w:t>
      </w:r>
      <w:r w:rsidR="003C0F01">
        <w:t>dated</w:t>
      </w:r>
      <w:r w:rsidR="007B70B5">
        <w:t xml:space="preserve"> January </w:t>
      </w:r>
      <w:r w:rsidR="00181DC2">
        <w:t xml:space="preserve">11, </w:t>
      </w:r>
      <w:r w:rsidR="007B70B5">
        <w:t xml:space="preserve">2024 </w:t>
      </w:r>
      <w:r w:rsidR="003B4A3A">
        <w:t xml:space="preserve">in </w:t>
      </w:r>
      <w:r w:rsidR="00076CA6">
        <w:t>E</w:t>
      </w:r>
      <w:r w:rsidR="003B4A3A">
        <w:t xml:space="preserve">xhibit </w:t>
      </w:r>
      <w:r w:rsidR="002520E1">
        <w:t>JRichert</w:t>
      </w:r>
      <w:r w:rsidR="00E1619F">
        <w:t>-6(CONF)</w:t>
      </w:r>
      <w:r w:rsidR="001B55EB">
        <w:t>,</w:t>
      </w:r>
      <w:r w:rsidR="003B4A3A">
        <w:t xml:space="preserve"> </w:t>
      </w:r>
      <w:r w:rsidR="005203B0">
        <w:t>f</w:t>
      </w:r>
      <w:r w:rsidR="00AC65BF">
        <w:t>actors that could lead to an upgrade</w:t>
      </w:r>
      <w:r w:rsidR="004230CC">
        <w:t xml:space="preserve"> include </w:t>
      </w:r>
      <w:r w:rsidR="00456AB2">
        <w:t xml:space="preserve">if </w:t>
      </w:r>
      <w:r w:rsidR="00E76667">
        <w:t xml:space="preserve"> </w:t>
      </w:r>
      <w:r w:rsidR="001A4287">
        <w:t>“</w:t>
      </w:r>
      <w:r w:rsidR="00AC65BF" w:rsidRPr="00762BB0">
        <w:t>CEHE’s financial metrics improve, including a ratio of CFO pre-W/C to debt consistently above 17%</w:t>
      </w:r>
      <w:r w:rsidR="001A4287">
        <w:t>”</w:t>
      </w:r>
      <w:r w:rsidR="00AC65BF">
        <w:t>.</w:t>
      </w:r>
      <w:r w:rsidR="00F3459A">
        <w:rPr>
          <w:rStyle w:val="FootnoteReference"/>
        </w:rPr>
        <w:footnoteReference w:id="13"/>
      </w:r>
      <w:r w:rsidR="00194315">
        <w:t xml:space="preserve"> </w:t>
      </w:r>
      <w:r w:rsidR="00076CA6">
        <w:t xml:space="preserve"> </w:t>
      </w:r>
      <w:r w:rsidR="00194315">
        <w:t xml:space="preserve">Based on </w:t>
      </w:r>
      <w:r w:rsidR="009245C5">
        <w:t xml:space="preserve">the projected cash flow improvements </w:t>
      </w:r>
      <w:r w:rsidR="00F341D6">
        <w:t xml:space="preserve">and resulting debt reductions </w:t>
      </w:r>
      <w:r w:rsidR="00D75C1F">
        <w:t xml:space="preserve">shown </w:t>
      </w:r>
      <w:r w:rsidR="002246A4">
        <w:t xml:space="preserve">in the simplified calculation below, we would advocate for </w:t>
      </w:r>
      <w:r w:rsidR="00836873">
        <w:t xml:space="preserve">a ratings improvement. </w:t>
      </w:r>
    </w:p>
    <w:p w14:paraId="5457A3D0" w14:textId="65303E15" w:rsidR="00FF1CA0" w:rsidRDefault="00FF1CA0" w:rsidP="00350C5E">
      <w:pPr>
        <w:pStyle w:val="CRAnswer"/>
        <w:keepNext/>
        <w:spacing w:after="240" w:line="240" w:lineRule="auto"/>
        <w:ind w:firstLine="0"/>
        <w:jc w:val="center"/>
      </w:pPr>
      <w:r w:rsidRPr="00350C5E">
        <w:rPr>
          <w:b/>
        </w:rPr>
        <w:lastRenderedPageBreak/>
        <w:t xml:space="preserve">Table </w:t>
      </w:r>
      <w:r w:rsidR="00D0582E" w:rsidRPr="00350C5E">
        <w:rPr>
          <w:b/>
        </w:rPr>
        <w:t>JRichert</w:t>
      </w:r>
      <w:r w:rsidR="00FC7793" w:rsidRPr="00350C5E">
        <w:rPr>
          <w:b/>
        </w:rPr>
        <w:t>-</w:t>
      </w:r>
      <w:r w:rsidR="00DA218B" w:rsidRPr="00350C5E">
        <w:rPr>
          <w:b/>
        </w:rPr>
        <w:t>9</w:t>
      </w:r>
      <w:r w:rsidRPr="00350C5E">
        <w:rPr>
          <w:b/>
        </w:rPr>
        <w:t xml:space="preserve">: </w:t>
      </w:r>
      <w:r w:rsidR="004347C6" w:rsidRPr="00384BA8">
        <w:rPr>
          <w:b/>
        </w:rPr>
        <w:t xml:space="preserve">Calculated FFO/Debt </w:t>
      </w:r>
      <w:r w:rsidR="00F44D50" w:rsidRPr="00384BA8">
        <w:rPr>
          <w:b/>
        </w:rPr>
        <w:t>based on Cap</w:t>
      </w:r>
      <w:r w:rsidR="00076CA6">
        <w:rPr>
          <w:b/>
        </w:rPr>
        <w:t>ital</w:t>
      </w:r>
      <w:r w:rsidR="00F44D50" w:rsidRPr="00384BA8">
        <w:rPr>
          <w:b/>
        </w:rPr>
        <w:t xml:space="preserve"> Structure and ROE </w:t>
      </w:r>
      <w:r w:rsidR="00E175EA">
        <w:rPr>
          <w:b/>
        </w:rPr>
        <w:t>R</w:t>
      </w:r>
      <w:r w:rsidR="00F44D50" w:rsidRPr="00384BA8">
        <w:rPr>
          <w:b/>
        </w:rPr>
        <w:t>ecommendation</w:t>
      </w:r>
      <w:r w:rsidR="00420950">
        <w:rPr>
          <w:rStyle w:val="FootnoteReference"/>
        </w:rPr>
        <w:footnoteReference w:id="14"/>
      </w:r>
    </w:p>
    <w:tbl>
      <w:tblPr>
        <w:tblW w:w="8520" w:type="dxa"/>
        <w:tblInd w:w="612" w:type="dxa"/>
        <w:tblLook w:val="04A0" w:firstRow="1" w:lastRow="0" w:firstColumn="1" w:lastColumn="0" w:noHBand="0" w:noVBand="1"/>
      </w:tblPr>
      <w:tblGrid>
        <w:gridCol w:w="4520"/>
        <w:gridCol w:w="1000"/>
        <w:gridCol w:w="1000"/>
        <w:gridCol w:w="1000"/>
        <w:gridCol w:w="1000"/>
      </w:tblGrid>
      <w:tr w:rsidR="0015682A" w:rsidRPr="0015682A" w14:paraId="6EBA63D1" w14:textId="77777777" w:rsidTr="0015682A">
        <w:trPr>
          <w:trHeight w:val="300"/>
        </w:trPr>
        <w:tc>
          <w:tcPr>
            <w:tcW w:w="4520" w:type="dxa"/>
            <w:tcBorders>
              <w:top w:val="nil"/>
              <w:left w:val="nil"/>
              <w:bottom w:val="nil"/>
              <w:right w:val="nil"/>
            </w:tcBorders>
            <w:shd w:val="clear" w:color="000000" w:fill="002060"/>
            <w:noWrap/>
            <w:vAlign w:val="bottom"/>
            <w:hideMark/>
          </w:tcPr>
          <w:p w14:paraId="3CB50157" w14:textId="56C0506B" w:rsidR="0015682A" w:rsidRPr="0015682A" w:rsidRDefault="0015682A" w:rsidP="0015682A">
            <w:pPr>
              <w:rPr>
                <w:rFonts w:ascii="Calibri" w:hAnsi="Calibri" w:cs="Calibri"/>
                <w:b/>
                <w:bCs/>
                <w:color w:val="FFFFFF"/>
                <w:sz w:val="22"/>
                <w:szCs w:val="22"/>
              </w:rPr>
            </w:pPr>
            <w:r w:rsidRPr="0015682A">
              <w:rPr>
                <w:rFonts w:ascii="Calibri" w:hAnsi="Calibri" w:cs="Calibri"/>
                <w:b/>
                <w:bCs/>
                <w:color w:val="FFFFFF"/>
                <w:sz w:val="22"/>
                <w:szCs w:val="22"/>
              </w:rPr>
              <w:t>($ in Billions)</w:t>
            </w:r>
          </w:p>
        </w:tc>
        <w:tc>
          <w:tcPr>
            <w:tcW w:w="1000" w:type="dxa"/>
            <w:tcBorders>
              <w:top w:val="nil"/>
              <w:left w:val="nil"/>
              <w:bottom w:val="nil"/>
              <w:right w:val="nil"/>
            </w:tcBorders>
            <w:shd w:val="clear" w:color="000000" w:fill="002060"/>
            <w:noWrap/>
            <w:vAlign w:val="bottom"/>
            <w:hideMark/>
          </w:tcPr>
          <w:p w14:paraId="0701398E" w14:textId="77777777" w:rsidR="0015682A" w:rsidRPr="0015682A" w:rsidRDefault="0015682A" w:rsidP="0015682A">
            <w:pPr>
              <w:jc w:val="right"/>
              <w:rPr>
                <w:rFonts w:ascii="Calibri" w:hAnsi="Calibri" w:cs="Calibri"/>
                <w:b/>
                <w:bCs/>
                <w:color w:val="FFFFFF"/>
                <w:sz w:val="22"/>
                <w:szCs w:val="22"/>
              </w:rPr>
            </w:pPr>
            <w:r w:rsidRPr="0015682A">
              <w:rPr>
                <w:rFonts w:ascii="Calibri" w:hAnsi="Calibri" w:cs="Calibri"/>
                <w:b/>
                <w:bCs/>
                <w:color w:val="FFFFFF"/>
                <w:sz w:val="22"/>
                <w:szCs w:val="22"/>
              </w:rPr>
              <w:t>2025E</w:t>
            </w:r>
          </w:p>
        </w:tc>
        <w:tc>
          <w:tcPr>
            <w:tcW w:w="1000" w:type="dxa"/>
            <w:tcBorders>
              <w:top w:val="nil"/>
              <w:left w:val="nil"/>
              <w:bottom w:val="nil"/>
              <w:right w:val="nil"/>
            </w:tcBorders>
            <w:shd w:val="clear" w:color="000000" w:fill="002060"/>
            <w:noWrap/>
            <w:vAlign w:val="bottom"/>
            <w:hideMark/>
          </w:tcPr>
          <w:p w14:paraId="5509B2FC" w14:textId="77777777" w:rsidR="0015682A" w:rsidRPr="0015682A" w:rsidRDefault="0015682A" w:rsidP="0015682A">
            <w:pPr>
              <w:jc w:val="right"/>
              <w:rPr>
                <w:rFonts w:ascii="Calibri" w:hAnsi="Calibri" w:cs="Calibri"/>
                <w:b/>
                <w:bCs/>
                <w:color w:val="FFFFFF"/>
                <w:sz w:val="22"/>
                <w:szCs w:val="22"/>
              </w:rPr>
            </w:pPr>
            <w:r w:rsidRPr="0015682A">
              <w:rPr>
                <w:rFonts w:ascii="Calibri" w:hAnsi="Calibri" w:cs="Calibri"/>
                <w:b/>
                <w:bCs/>
                <w:color w:val="FFFFFF"/>
                <w:sz w:val="22"/>
                <w:szCs w:val="22"/>
              </w:rPr>
              <w:t>2026E</w:t>
            </w:r>
          </w:p>
        </w:tc>
        <w:tc>
          <w:tcPr>
            <w:tcW w:w="1000" w:type="dxa"/>
            <w:tcBorders>
              <w:top w:val="nil"/>
              <w:left w:val="nil"/>
              <w:bottom w:val="nil"/>
              <w:right w:val="nil"/>
            </w:tcBorders>
            <w:shd w:val="clear" w:color="000000" w:fill="002060"/>
            <w:noWrap/>
            <w:vAlign w:val="bottom"/>
            <w:hideMark/>
          </w:tcPr>
          <w:p w14:paraId="70244270" w14:textId="77777777" w:rsidR="0015682A" w:rsidRPr="0015682A" w:rsidRDefault="0015682A" w:rsidP="0015682A">
            <w:pPr>
              <w:jc w:val="right"/>
              <w:rPr>
                <w:rFonts w:ascii="Calibri" w:hAnsi="Calibri" w:cs="Calibri"/>
                <w:b/>
                <w:bCs/>
                <w:color w:val="FFFFFF"/>
                <w:sz w:val="22"/>
                <w:szCs w:val="22"/>
              </w:rPr>
            </w:pPr>
            <w:r w:rsidRPr="0015682A">
              <w:rPr>
                <w:rFonts w:ascii="Calibri" w:hAnsi="Calibri" w:cs="Calibri"/>
                <w:b/>
                <w:bCs/>
                <w:color w:val="FFFFFF"/>
                <w:sz w:val="22"/>
                <w:szCs w:val="22"/>
              </w:rPr>
              <w:t>2027E</w:t>
            </w:r>
          </w:p>
        </w:tc>
        <w:tc>
          <w:tcPr>
            <w:tcW w:w="1000" w:type="dxa"/>
            <w:tcBorders>
              <w:top w:val="nil"/>
              <w:left w:val="nil"/>
              <w:bottom w:val="nil"/>
              <w:right w:val="nil"/>
            </w:tcBorders>
            <w:shd w:val="clear" w:color="000000" w:fill="002060"/>
            <w:noWrap/>
            <w:vAlign w:val="bottom"/>
            <w:hideMark/>
          </w:tcPr>
          <w:p w14:paraId="3A15BB2C" w14:textId="77777777" w:rsidR="0015682A" w:rsidRPr="0015682A" w:rsidRDefault="0015682A" w:rsidP="0015682A">
            <w:pPr>
              <w:jc w:val="right"/>
              <w:rPr>
                <w:rFonts w:ascii="Calibri" w:hAnsi="Calibri" w:cs="Calibri"/>
                <w:b/>
                <w:bCs/>
                <w:color w:val="FFFFFF"/>
                <w:sz w:val="22"/>
                <w:szCs w:val="22"/>
              </w:rPr>
            </w:pPr>
            <w:r w:rsidRPr="0015682A">
              <w:rPr>
                <w:rFonts w:ascii="Calibri" w:hAnsi="Calibri" w:cs="Calibri"/>
                <w:b/>
                <w:bCs/>
                <w:color w:val="FFFFFF"/>
                <w:sz w:val="22"/>
                <w:szCs w:val="22"/>
              </w:rPr>
              <w:t>2028E</w:t>
            </w:r>
          </w:p>
        </w:tc>
      </w:tr>
      <w:tr w:rsidR="0015682A" w:rsidRPr="0015682A" w14:paraId="16635BDD" w14:textId="77777777" w:rsidTr="0015682A">
        <w:trPr>
          <w:trHeight w:val="300"/>
        </w:trPr>
        <w:tc>
          <w:tcPr>
            <w:tcW w:w="4520" w:type="dxa"/>
            <w:tcBorders>
              <w:top w:val="nil"/>
              <w:left w:val="nil"/>
              <w:bottom w:val="nil"/>
              <w:right w:val="nil"/>
            </w:tcBorders>
            <w:shd w:val="clear" w:color="auto" w:fill="auto"/>
            <w:noWrap/>
            <w:vAlign w:val="bottom"/>
            <w:hideMark/>
          </w:tcPr>
          <w:p w14:paraId="7F944B26" w14:textId="77777777" w:rsidR="0015682A" w:rsidRPr="0015682A" w:rsidRDefault="0015682A" w:rsidP="0015682A">
            <w:pPr>
              <w:rPr>
                <w:rFonts w:ascii="Calibri" w:hAnsi="Calibri" w:cs="Calibri"/>
                <w:color w:val="000000"/>
                <w:sz w:val="22"/>
                <w:szCs w:val="22"/>
              </w:rPr>
            </w:pPr>
            <w:r w:rsidRPr="0015682A">
              <w:rPr>
                <w:rFonts w:ascii="Calibri" w:hAnsi="Calibri" w:cs="Calibri"/>
                <w:color w:val="000000"/>
                <w:sz w:val="22"/>
                <w:szCs w:val="22"/>
              </w:rPr>
              <w:t>FFO (at 55%/45% structure at 10.4% ROE)</w:t>
            </w:r>
          </w:p>
        </w:tc>
        <w:tc>
          <w:tcPr>
            <w:tcW w:w="1000" w:type="dxa"/>
            <w:tcBorders>
              <w:top w:val="nil"/>
              <w:left w:val="nil"/>
              <w:bottom w:val="nil"/>
              <w:right w:val="nil"/>
            </w:tcBorders>
            <w:shd w:val="clear" w:color="auto" w:fill="auto"/>
            <w:noWrap/>
            <w:vAlign w:val="bottom"/>
            <w:hideMark/>
          </w:tcPr>
          <w:p w14:paraId="7713E551" w14:textId="77777777" w:rsidR="0015682A" w:rsidRPr="0015682A" w:rsidRDefault="0015682A" w:rsidP="0015682A">
            <w:pPr>
              <w:jc w:val="right"/>
              <w:rPr>
                <w:rFonts w:ascii="Calibri" w:hAnsi="Calibri" w:cs="Calibri"/>
                <w:color w:val="000000"/>
                <w:sz w:val="22"/>
                <w:szCs w:val="22"/>
              </w:rPr>
            </w:pPr>
            <w:r w:rsidRPr="0015682A">
              <w:rPr>
                <w:rFonts w:ascii="Calibri" w:hAnsi="Calibri" w:cs="Calibri"/>
                <w:color w:val="000000"/>
                <w:sz w:val="22"/>
                <w:szCs w:val="22"/>
              </w:rPr>
              <w:t xml:space="preserve">$1.5 </w:t>
            </w:r>
          </w:p>
        </w:tc>
        <w:tc>
          <w:tcPr>
            <w:tcW w:w="1000" w:type="dxa"/>
            <w:tcBorders>
              <w:top w:val="nil"/>
              <w:left w:val="nil"/>
              <w:bottom w:val="nil"/>
              <w:right w:val="nil"/>
            </w:tcBorders>
            <w:shd w:val="clear" w:color="auto" w:fill="auto"/>
            <w:noWrap/>
            <w:vAlign w:val="bottom"/>
            <w:hideMark/>
          </w:tcPr>
          <w:p w14:paraId="51513FA6" w14:textId="77777777" w:rsidR="0015682A" w:rsidRPr="0015682A" w:rsidRDefault="0015682A" w:rsidP="0015682A">
            <w:pPr>
              <w:jc w:val="right"/>
              <w:rPr>
                <w:rFonts w:ascii="Calibri" w:hAnsi="Calibri" w:cs="Calibri"/>
                <w:color w:val="000000"/>
                <w:sz w:val="22"/>
                <w:szCs w:val="22"/>
              </w:rPr>
            </w:pPr>
            <w:r w:rsidRPr="0015682A">
              <w:rPr>
                <w:rFonts w:ascii="Calibri" w:hAnsi="Calibri" w:cs="Calibri"/>
                <w:color w:val="000000"/>
                <w:sz w:val="22"/>
                <w:szCs w:val="22"/>
              </w:rPr>
              <w:t xml:space="preserve">$1.7 </w:t>
            </w:r>
          </w:p>
        </w:tc>
        <w:tc>
          <w:tcPr>
            <w:tcW w:w="1000" w:type="dxa"/>
            <w:tcBorders>
              <w:top w:val="nil"/>
              <w:left w:val="nil"/>
              <w:bottom w:val="nil"/>
              <w:right w:val="nil"/>
            </w:tcBorders>
            <w:shd w:val="clear" w:color="auto" w:fill="auto"/>
            <w:noWrap/>
            <w:vAlign w:val="bottom"/>
            <w:hideMark/>
          </w:tcPr>
          <w:p w14:paraId="35039A73" w14:textId="77777777" w:rsidR="0015682A" w:rsidRPr="0015682A" w:rsidRDefault="0015682A" w:rsidP="0015682A">
            <w:pPr>
              <w:jc w:val="right"/>
              <w:rPr>
                <w:rFonts w:ascii="Calibri" w:hAnsi="Calibri" w:cs="Calibri"/>
                <w:color w:val="000000"/>
                <w:sz w:val="22"/>
                <w:szCs w:val="22"/>
              </w:rPr>
            </w:pPr>
            <w:r w:rsidRPr="0015682A">
              <w:rPr>
                <w:rFonts w:ascii="Calibri" w:hAnsi="Calibri" w:cs="Calibri"/>
                <w:color w:val="000000"/>
                <w:sz w:val="22"/>
                <w:szCs w:val="22"/>
              </w:rPr>
              <w:t xml:space="preserve">$1.9 </w:t>
            </w:r>
          </w:p>
        </w:tc>
        <w:tc>
          <w:tcPr>
            <w:tcW w:w="1000" w:type="dxa"/>
            <w:tcBorders>
              <w:top w:val="nil"/>
              <w:left w:val="nil"/>
              <w:bottom w:val="nil"/>
              <w:right w:val="nil"/>
            </w:tcBorders>
            <w:shd w:val="clear" w:color="auto" w:fill="auto"/>
            <w:noWrap/>
            <w:vAlign w:val="bottom"/>
            <w:hideMark/>
          </w:tcPr>
          <w:p w14:paraId="6648EAC4" w14:textId="77777777" w:rsidR="0015682A" w:rsidRPr="0015682A" w:rsidRDefault="0015682A" w:rsidP="0015682A">
            <w:pPr>
              <w:jc w:val="right"/>
              <w:rPr>
                <w:rFonts w:ascii="Calibri" w:hAnsi="Calibri" w:cs="Calibri"/>
                <w:color w:val="000000"/>
                <w:sz w:val="22"/>
                <w:szCs w:val="22"/>
              </w:rPr>
            </w:pPr>
            <w:r w:rsidRPr="0015682A">
              <w:rPr>
                <w:rFonts w:ascii="Calibri" w:hAnsi="Calibri" w:cs="Calibri"/>
                <w:color w:val="000000"/>
                <w:sz w:val="22"/>
                <w:szCs w:val="22"/>
              </w:rPr>
              <w:t xml:space="preserve">$2.0 </w:t>
            </w:r>
          </w:p>
        </w:tc>
      </w:tr>
      <w:tr w:rsidR="0015682A" w:rsidRPr="0015682A" w14:paraId="0500D02E" w14:textId="77777777" w:rsidTr="0015682A">
        <w:trPr>
          <w:trHeight w:val="139"/>
        </w:trPr>
        <w:tc>
          <w:tcPr>
            <w:tcW w:w="4520" w:type="dxa"/>
            <w:tcBorders>
              <w:top w:val="nil"/>
              <w:left w:val="nil"/>
              <w:bottom w:val="nil"/>
              <w:right w:val="nil"/>
            </w:tcBorders>
            <w:shd w:val="clear" w:color="auto" w:fill="auto"/>
            <w:noWrap/>
            <w:vAlign w:val="bottom"/>
            <w:hideMark/>
          </w:tcPr>
          <w:p w14:paraId="7CC7EE05" w14:textId="77777777" w:rsidR="0015682A" w:rsidRPr="0015682A" w:rsidRDefault="0015682A" w:rsidP="0015682A">
            <w:pPr>
              <w:jc w:val="right"/>
              <w:rPr>
                <w:rFonts w:ascii="Calibri" w:hAnsi="Calibri" w:cs="Calibri"/>
                <w:color w:val="000000"/>
                <w:sz w:val="22"/>
                <w:szCs w:val="22"/>
              </w:rPr>
            </w:pPr>
          </w:p>
        </w:tc>
        <w:tc>
          <w:tcPr>
            <w:tcW w:w="1000" w:type="dxa"/>
            <w:tcBorders>
              <w:top w:val="nil"/>
              <w:left w:val="nil"/>
              <w:bottom w:val="nil"/>
              <w:right w:val="nil"/>
            </w:tcBorders>
            <w:shd w:val="clear" w:color="auto" w:fill="auto"/>
            <w:noWrap/>
            <w:vAlign w:val="bottom"/>
            <w:hideMark/>
          </w:tcPr>
          <w:p w14:paraId="1D0333A0" w14:textId="77777777" w:rsidR="0015682A" w:rsidRPr="0015682A" w:rsidRDefault="0015682A" w:rsidP="0015682A">
            <w:pPr>
              <w:rPr>
                <w:sz w:val="20"/>
              </w:rPr>
            </w:pPr>
          </w:p>
        </w:tc>
        <w:tc>
          <w:tcPr>
            <w:tcW w:w="1000" w:type="dxa"/>
            <w:tcBorders>
              <w:top w:val="nil"/>
              <w:left w:val="nil"/>
              <w:bottom w:val="nil"/>
              <w:right w:val="nil"/>
            </w:tcBorders>
            <w:shd w:val="clear" w:color="auto" w:fill="auto"/>
            <w:noWrap/>
            <w:vAlign w:val="bottom"/>
            <w:hideMark/>
          </w:tcPr>
          <w:p w14:paraId="1EE033B4" w14:textId="77777777" w:rsidR="0015682A" w:rsidRPr="0015682A" w:rsidRDefault="0015682A" w:rsidP="0015682A">
            <w:pPr>
              <w:rPr>
                <w:sz w:val="20"/>
              </w:rPr>
            </w:pPr>
          </w:p>
        </w:tc>
        <w:tc>
          <w:tcPr>
            <w:tcW w:w="1000" w:type="dxa"/>
            <w:tcBorders>
              <w:top w:val="nil"/>
              <w:left w:val="nil"/>
              <w:bottom w:val="nil"/>
              <w:right w:val="nil"/>
            </w:tcBorders>
            <w:shd w:val="clear" w:color="auto" w:fill="auto"/>
            <w:noWrap/>
            <w:vAlign w:val="bottom"/>
            <w:hideMark/>
          </w:tcPr>
          <w:p w14:paraId="1A2C4B2C" w14:textId="77777777" w:rsidR="0015682A" w:rsidRPr="0015682A" w:rsidRDefault="0015682A" w:rsidP="0015682A">
            <w:pPr>
              <w:rPr>
                <w:sz w:val="20"/>
              </w:rPr>
            </w:pPr>
          </w:p>
        </w:tc>
        <w:tc>
          <w:tcPr>
            <w:tcW w:w="1000" w:type="dxa"/>
            <w:tcBorders>
              <w:top w:val="nil"/>
              <w:left w:val="nil"/>
              <w:bottom w:val="nil"/>
              <w:right w:val="nil"/>
            </w:tcBorders>
            <w:shd w:val="clear" w:color="auto" w:fill="auto"/>
            <w:noWrap/>
            <w:vAlign w:val="bottom"/>
            <w:hideMark/>
          </w:tcPr>
          <w:p w14:paraId="304C951A" w14:textId="77777777" w:rsidR="0015682A" w:rsidRPr="0015682A" w:rsidRDefault="0015682A" w:rsidP="0015682A">
            <w:pPr>
              <w:rPr>
                <w:sz w:val="20"/>
              </w:rPr>
            </w:pPr>
          </w:p>
        </w:tc>
      </w:tr>
      <w:tr w:rsidR="0015682A" w:rsidRPr="0015682A" w14:paraId="32A3DE2B" w14:textId="77777777" w:rsidTr="0015682A">
        <w:trPr>
          <w:trHeight w:val="300"/>
        </w:trPr>
        <w:tc>
          <w:tcPr>
            <w:tcW w:w="4520" w:type="dxa"/>
            <w:tcBorders>
              <w:top w:val="nil"/>
              <w:left w:val="nil"/>
              <w:bottom w:val="nil"/>
              <w:right w:val="nil"/>
            </w:tcBorders>
            <w:shd w:val="clear" w:color="auto" w:fill="auto"/>
            <w:noWrap/>
            <w:vAlign w:val="bottom"/>
            <w:hideMark/>
          </w:tcPr>
          <w:p w14:paraId="0B3F1E00" w14:textId="77777777" w:rsidR="0015682A" w:rsidRPr="0015682A" w:rsidRDefault="0015682A" w:rsidP="0015682A">
            <w:pPr>
              <w:rPr>
                <w:rFonts w:ascii="Calibri" w:hAnsi="Calibri" w:cs="Calibri"/>
                <w:color w:val="000000"/>
                <w:sz w:val="22"/>
                <w:szCs w:val="22"/>
              </w:rPr>
            </w:pPr>
            <w:r w:rsidRPr="0015682A">
              <w:rPr>
                <w:rFonts w:ascii="Calibri" w:hAnsi="Calibri" w:cs="Calibri"/>
                <w:color w:val="000000"/>
                <w:sz w:val="22"/>
                <w:szCs w:val="22"/>
              </w:rPr>
              <w:t>Total Debt</w:t>
            </w:r>
          </w:p>
        </w:tc>
        <w:tc>
          <w:tcPr>
            <w:tcW w:w="1000" w:type="dxa"/>
            <w:tcBorders>
              <w:top w:val="nil"/>
              <w:left w:val="nil"/>
              <w:bottom w:val="nil"/>
              <w:right w:val="nil"/>
            </w:tcBorders>
            <w:shd w:val="clear" w:color="auto" w:fill="auto"/>
            <w:noWrap/>
            <w:vAlign w:val="bottom"/>
            <w:hideMark/>
          </w:tcPr>
          <w:p w14:paraId="0F6E9CB3" w14:textId="77777777" w:rsidR="0015682A" w:rsidRPr="0015682A" w:rsidRDefault="0015682A" w:rsidP="0015682A">
            <w:pPr>
              <w:jc w:val="right"/>
              <w:rPr>
                <w:rFonts w:ascii="Calibri" w:hAnsi="Calibri" w:cs="Calibri"/>
                <w:color w:val="000000"/>
                <w:sz w:val="22"/>
                <w:szCs w:val="22"/>
              </w:rPr>
            </w:pPr>
            <w:r w:rsidRPr="0015682A">
              <w:rPr>
                <w:rFonts w:ascii="Calibri" w:hAnsi="Calibri" w:cs="Calibri"/>
                <w:color w:val="000000"/>
                <w:sz w:val="22"/>
                <w:szCs w:val="22"/>
              </w:rPr>
              <w:t xml:space="preserve">$9.0 </w:t>
            </w:r>
          </w:p>
        </w:tc>
        <w:tc>
          <w:tcPr>
            <w:tcW w:w="1000" w:type="dxa"/>
            <w:tcBorders>
              <w:top w:val="nil"/>
              <w:left w:val="nil"/>
              <w:bottom w:val="nil"/>
              <w:right w:val="nil"/>
            </w:tcBorders>
            <w:shd w:val="clear" w:color="auto" w:fill="auto"/>
            <w:noWrap/>
            <w:vAlign w:val="bottom"/>
            <w:hideMark/>
          </w:tcPr>
          <w:p w14:paraId="217E496F" w14:textId="77777777" w:rsidR="0015682A" w:rsidRPr="0015682A" w:rsidRDefault="0015682A" w:rsidP="0015682A">
            <w:pPr>
              <w:jc w:val="right"/>
              <w:rPr>
                <w:rFonts w:ascii="Calibri" w:hAnsi="Calibri" w:cs="Calibri"/>
                <w:color w:val="000000"/>
                <w:sz w:val="22"/>
                <w:szCs w:val="22"/>
              </w:rPr>
            </w:pPr>
            <w:r w:rsidRPr="0015682A">
              <w:rPr>
                <w:rFonts w:ascii="Calibri" w:hAnsi="Calibri" w:cs="Calibri"/>
                <w:color w:val="000000"/>
                <w:sz w:val="22"/>
                <w:szCs w:val="22"/>
              </w:rPr>
              <w:t xml:space="preserve">$9.9 </w:t>
            </w:r>
          </w:p>
        </w:tc>
        <w:tc>
          <w:tcPr>
            <w:tcW w:w="1000" w:type="dxa"/>
            <w:tcBorders>
              <w:top w:val="nil"/>
              <w:left w:val="nil"/>
              <w:bottom w:val="nil"/>
              <w:right w:val="nil"/>
            </w:tcBorders>
            <w:shd w:val="clear" w:color="auto" w:fill="auto"/>
            <w:noWrap/>
            <w:vAlign w:val="bottom"/>
            <w:hideMark/>
          </w:tcPr>
          <w:p w14:paraId="04D3E8F7" w14:textId="77777777" w:rsidR="0015682A" w:rsidRPr="0015682A" w:rsidRDefault="0015682A" w:rsidP="0015682A">
            <w:pPr>
              <w:jc w:val="right"/>
              <w:rPr>
                <w:rFonts w:ascii="Calibri" w:hAnsi="Calibri" w:cs="Calibri"/>
                <w:color w:val="000000"/>
                <w:sz w:val="22"/>
                <w:szCs w:val="22"/>
              </w:rPr>
            </w:pPr>
            <w:r w:rsidRPr="0015682A">
              <w:rPr>
                <w:rFonts w:ascii="Calibri" w:hAnsi="Calibri" w:cs="Calibri"/>
                <w:color w:val="000000"/>
                <w:sz w:val="22"/>
                <w:szCs w:val="22"/>
              </w:rPr>
              <w:t xml:space="preserve">$10.9 </w:t>
            </w:r>
          </w:p>
        </w:tc>
        <w:tc>
          <w:tcPr>
            <w:tcW w:w="1000" w:type="dxa"/>
            <w:tcBorders>
              <w:top w:val="nil"/>
              <w:left w:val="nil"/>
              <w:bottom w:val="nil"/>
              <w:right w:val="nil"/>
            </w:tcBorders>
            <w:shd w:val="clear" w:color="auto" w:fill="auto"/>
            <w:noWrap/>
            <w:vAlign w:val="bottom"/>
            <w:hideMark/>
          </w:tcPr>
          <w:p w14:paraId="509D03B4" w14:textId="77777777" w:rsidR="0015682A" w:rsidRPr="0015682A" w:rsidRDefault="0015682A" w:rsidP="0015682A">
            <w:pPr>
              <w:jc w:val="right"/>
              <w:rPr>
                <w:rFonts w:ascii="Calibri" w:hAnsi="Calibri" w:cs="Calibri"/>
                <w:color w:val="000000"/>
                <w:sz w:val="22"/>
                <w:szCs w:val="22"/>
              </w:rPr>
            </w:pPr>
            <w:r w:rsidRPr="0015682A">
              <w:rPr>
                <w:rFonts w:ascii="Calibri" w:hAnsi="Calibri" w:cs="Calibri"/>
                <w:color w:val="000000"/>
                <w:sz w:val="22"/>
                <w:szCs w:val="22"/>
              </w:rPr>
              <w:t xml:space="preserve">$11.8 </w:t>
            </w:r>
          </w:p>
        </w:tc>
      </w:tr>
      <w:tr w:rsidR="0015682A" w:rsidRPr="0015682A" w14:paraId="18BEFF24" w14:textId="77777777" w:rsidTr="0015682A">
        <w:trPr>
          <w:trHeight w:val="90"/>
        </w:trPr>
        <w:tc>
          <w:tcPr>
            <w:tcW w:w="4520" w:type="dxa"/>
            <w:tcBorders>
              <w:top w:val="nil"/>
              <w:left w:val="nil"/>
              <w:bottom w:val="nil"/>
              <w:right w:val="nil"/>
            </w:tcBorders>
            <w:shd w:val="clear" w:color="auto" w:fill="auto"/>
            <w:noWrap/>
            <w:vAlign w:val="bottom"/>
            <w:hideMark/>
          </w:tcPr>
          <w:p w14:paraId="538EDFED" w14:textId="77777777" w:rsidR="0015682A" w:rsidRPr="0015682A" w:rsidRDefault="0015682A" w:rsidP="0015682A">
            <w:pPr>
              <w:jc w:val="right"/>
              <w:rPr>
                <w:rFonts w:ascii="Calibri" w:hAnsi="Calibri" w:cs="Calibri"/>
                <w:color w:val="000000"/>
                <w:sz w:val="22"/>
                <w:szCs w:val="22"/>
              </w:rPr>
            </w:pPr>
          </w:p>
        </w:tc>
        <w:tc>
          <w:tcPr>
            <w:tcW w:w="1000" w:type="dxa"/>
            <w:tcBorders>
              <w:top w:val="nil"/>
              <w:left w:val="nil"/>
              <w:bottom w:val="nil"/>
              <w:right w:val="nil"/>
            </w:tcBorders>
            <w:shd w:val="clear" w:color="auto" w:fill="auto"/>
            <w:noWrap/>
            <w:vAlign w:val="bottom"/>
            <w:hideMark/>
          </w:tcPr>
          <w:p w14:paraId="2B316BCE" w14:textId="77777777" w:rsidR="0015682A" w:rsidRPr="0015682A" w:rsidRDefault="0015682A" w:rsidP="0015682A">
            <w:pPr>
              <w:rPr>
                <w:sz w:val="20"/>
              </w:rPr>
            </w:pPr>
          </w:p>
        </w:tc>
        <w:tc>
          <w:tcPr>
            <w:tcW w:w="1000" w:type="dxa"/>
            <w:tcBorders>
              <w:top w:val="nil"/>
              <w:left w:val="nil"/>
              <w:bottom w:val="nil"/>
              <w:right w:val="nil"/>
            </w:tcBorders>
            <w:shd w:val="clear" w:color="auto" w:fill="auto"/>
            <w:noWrap/>
            <w:vAlign w:val="bottom"/>
            <w:hideMark/>
          </w:tcPr>
          <w:p w14:paraId="2201761C" w14:textId="77777777" w:rsidR="0015682A" w:rsidRPr="0015682A" w:rsidRDefault="0015682A" w:rsidP="0015682A">
            <w:pPr>
              <w:rPr>
                <w:sz w:val="20"/>
              </w:rPr>
            </w:pPr>
          </w:p>
        </w:tc>
        <w:tc>
          <w:tcPr>
            <w:tcW w:w="1000" w:type="dxa"/>
            <w:tcBorders>
              <w:top w:val="nil"/>
              <w:left w:val="nil"/>
              <w:bottom w:val="nil"/>
              <w:right w:val="nil"/>
            </w:tcBorders>
            <w:shd w:val="clear" w:color="auto" w:fill="auto"/>
            <w:noWrap/>
            <w:vAlign w:val="bottom"/>
            <w:hideMark/>
          </w:tcPr>
          <w:p w14:paraId="2D1CD375" w14:textId="77777777" w:rsidR="0015682A" w:rsidRPr="0015682A" w:rsidRDefault="0015682A" w:rsidP="0015682A">
            <w:pPr>
              <w:rPr>
                <w:sz w:val="20"/>
              </w:rPr>
            </w:pPr>
          </w:p>
        </w:tc>
        <w:tc>
          <w:tcPr>
            <w:tcW w:w="1000" w:type="dxa"/>
            <w:tcBorders>
              <w:top w:val="nil"/>
              <w:left w:val="nil"/>
              <w:bottom w:val="nil"/>
              <w:right w:val="nil"/>
            </w:tcBorders>
            <w:shd w:val="clear" w:color="auto" w:fill="auto"/>
            <w:noWrap/>
            <w:vAlign w:val="bottom"/>
            <w:hideMark/>
          </w:tcPr>
          <w:p w14:paraId="45E90DB0" w14:textId="77777777" w:rsidR="0015682A" w:rsidRPr="0015682A" w:rsidRDefault="0015682A" w:rsidP="0015682A">
            <w:pPr>
              <w:rPr>
                <w:sz w:val="20"/>
              </w:rPr>
            </w:pPr>
          </w:p>
        </w:tc>
      </w:tr>
      <w:tr w:rsidR="0015682A" w:rsidRPr="0015682A" w14:paraId="4C15E792" w14:textId="77777777" w:rsidTr="0015682A">
        <w:trPr>
          <w:trHeight w:val="315"/>
        </w:trPr>
        <w:tc>
          <w:tcPr>
            <w:tcW w:w="4520" w:type="dxa"/>
            <w:tcBorders>
              <w:top w:val="single" w:sz="4" w:space="0" w:color="548235"/>
              <w:left w:val="nil"/>
              <w:bottom w:val="single" w:sz="8" w:space="0" w:color="548235"/>
              <w:right w:val="nil"/>
            </w:tcBorders>
            <w:shd w:val="clear" w:color="000000" w:fill="B4C6E7"/>
            <w:noWrap/>
            <w:vAlign w:val="bottom"/>
            <w:hideMark/>
          </w:tcPr>
          <w:p w14:paraId="724ED8A0" w14:textId="77777777" w:rsidR="0015682A" w:rsidRPr="0015682A" w:rsidRDefault="0015682A" w:rsidP="0015682A">
            <w:pPr>
              <w:rPr>
                <w:rFonts w:ascii="Calibri" w:hAnsi="Calibri" w:cs="Calibri"/>
                <w:b/>
                <w:bCs/>
                <w:color w:val="000000"/>
                <w:sz w:val="22"/>
                <w:szCs w:val="22"/>
              </w:rPr>
            </w:pPr>
            <w:r w:rsidRPr="0015682A">
              <w:rPr>
                <w:rFonts w:ascii="Calibri" w:hAnsi="Calibri" w:cs="Calibri"/>
                <w:b/>
                <w:bCs/>
                <w:color w:val="000000"/>
                <w:sz w:val="22"/>
                <w:szCs w:val="22"/>
              </w:rPr>
              <w:t>FFO / Total Debt</w:t>
            </w:r>
          </w:p>
        </w:tc>
        <w:tc>
          <w:tcPr>
            <w:tcW w:w="1000" w:type="dxa"/>
            <w:tcBorders>
              <w:top w:val="single" w:sz="4" w:space="0" w:color="548235"/>
              <w:left w:val="nil"/>
              <w:bottom w:val="single" w:sz="8" w:space="0" w:color="548235"/>
              <w:right w:val="nil"/>
            </w:tcBorders>
            <w:shd w:val="clear" w:color="000000" w:fill="B4C6E7"/>
            <w:noWrap/>
            <w:vAlign w:val="bottom"/>
            <w:hideMark/>
          </w:tcPr>
          <w:p w14:paraId="55D95614" w14:textId="77777777" w:rsidR="0015682A" w:rsidRPr="0015682A" w:rsidRDefault="0015682A" w:rsidP="0015682A">
            <w:pPr>
              <w:jc w:val="right"/>
              <w:rPr>
                <w:rFonts w:ascii="Calibri" w:hAnsi="Calibri" w:cs="Calibri"/>
                <w:b/>
                <w:bCs/>
                <w:color w:val="000000"/>
                <w:sz w:val="22"/>
                <w:szCs w:val="22"/>
              </w:rPr>
            </w:pPr>
            <w:r w:rsidRPr="0015682A">
              <w:rPr>
                <w:rFonts w:ascii="Calibri" w:hAnsi="Calibri" w:cs="Calibri"/>
                <w:b/>
                <w:bCs/>
                <w:color w:val="000000"/>
                <w:sz w:val="22"/>
                <w:szCs w:val="22"/>
              </w:rPr>
              <w:t>17.0%</w:t>
            </w:r>
          </w:p>
        </w:tc>
        <w:tc>
          <w:tcPr>
            <w:tcW w:w="1000" w:type="dxa"/>
            <w:tcBorders>
              <w:top w:val="single" w:sz="4" w:space="0" w:color="548235"/>
              <w:left w:val="nil"/>
              <w:bottom w:val="single" w:sz="8" w:space="0" w:color="548235"/>
              <w:right w:val="nil"/>
            </w:tcBorders>
            <w:shd w:val="clear" w:color="000000" w:fill="B4C6E7"/>
            <w:noWrap/>
            <w:vAlign w:val="bottom"/>
            <w:hideMark/>
          </w:tcPr>
          <w:p w14:paraId="0DC82319" w14:textId="77777777" w:rsidR="0015682A" w:rsidRPr="0015682A" w:rsidRDefault="0015682A" w:rsidP="0015682A">
            <w:pPr>
              <w:jc w:val="right"/>
              <w:rPr>
                <w:rFonts w:ascii="Calibri" w:hAnsi="Calibri" w:cs="Calibri"/>
                <w:b/>
                <w:bCs/>
                <w:color w:val="000000"/>
                <w:sz w:val="22"/>
                <w:szCs w:val="22"/>
              </w:rPr>
            </w:pPr>
            <w:r w:rsidRPr="0015682A">
              <w:rPr>
                <w:rFonts w:ascii="Calibri" w:hAnsi="Calibri" w:cs="Calibri"/>
                <w:b/>
                <w:bCs/>
                <w:color w:val="000000"/>
                <w:sz w:val="22"/>
                <w:szCs w:val="22"/>
              </w:rPr>
              <w:t>17.3%</w:t>
            </w:r>
          </w:p>
        </w:tc>
        <w:tc>
          <w:tcPr>
            <w:tcW w:w="1000" w:type="dxa"/>
            <w:tcBorders>
              <w:top w:val="single" w:sz="4" w:space="0" w:color="548235"/>
              <w:left w:val="nil"/>
              <w:bottom w:val="single" w:sz="8" w:space="0" w:color="548235"/>
              <w:right w:val="nil"/>
            </w:tcBorders>
            <w:shd w:val="clear" w:color="000000" w:fill="B4C6E7"/>
            <w:noWrap/>
            <w:vAlign w:val="bottom"/>
            <w:hideMark/>
          </w:tcPr>
          <w:p w14:paraId="51F723CA" w14:textId="77777777" w:rsidR="0015682A" w:rsidRPr="0015682A" w:rsidRDefault="0015682A" w:rsidP="0015682A">
            <w:pPr>
              <w:jc w:val="right"/>
              <w:rPr>
                <w:rFonts w:ascii="Calibri" w:hAnsi="Calibri" w:cs="Calibri"/>
                <w:b/>
                <w:bCs/>
                <w:color w:val="000000"/>
                <w:sz w:val="22"/>
                <w:szCs w:val="22"/>
              </w:rPr>
            </w:pPr>
            <w:r w:rsidRPr="0015682A">
              <w:rPr>
                <w:rFonts w:ascii="Calibri" w:hAnsi="Calibri" w:cs="Calibri"/>
                <w:b/>
                <w:bCs/>
                <w:color w:val="000000"/>
                <w:sz w:val="22"/>
                <w:szCs w:val="22"/>
              </w:rPr>
              <w:t>17.3%</w:t>
            </w:r>
          </w:p>
        </w:tc>
        <w:tc>
          <w:tcPr>
            <w:tcW w:w="1000" w:type="dxa"/>
            <w:tcBorders>
              <w:top w:val="single" w:sz="4" w:space="0" w:color="548235"/>
              <w:left w:val="nil"/>
              <w:bottom w:val="single" w:sz="8" w:space="0" w:color="548235"/>
              <w:right w:val="nil"/>
            </w:tcBorders>
            <w:shd w:val="clear" w:color="000000" w:fill="B4C6E7"/>
            <w:noWrap/>
            <w:vAlign w:val="bottom"/>
            <w:hideMark/>
          </w:tcPr>
          <w:p w14:paraId="1124CE95" w14:textId="77777777" w:rsidR="0015682A" w:rsidRPr="0015682A" w:rsidRDefault="0015682A" w:rsidP="0015682A">
            <w:pPr>
              <w:jc w:val="right"/>
              <w:rPr>
                <w:rFonts w:ascii="Calibri" w:hAnsi="Calibri" w:cs="Calibri"/>
                <w:b/>
                <w:bCs/>
                <w:color w:val="000000"/>
                <w:sz w:val="22"/>
                <w:szCs w:val="22"/>
              </w:rPr>
            </w:pPr>
            <w:r w:rsidRPr="0015682A">
              <w:rPr>
                <w:rFonts w:ascii="Calibri" w:hAnsi="Calibri" w:cs="Calibri"/>
                <w:b/>
                <w:bCs/>
                <w:color w:val="000000"/>
                <w:sz w:val="22"/>
                <w:szCs w:val="22"/>
              </w:rPr>
              <w:t>17.3%</w:t>
            </w:r>
          </w:p>
        </w:tc>
      </w:tr>
    </w:tbl>
    <w:p w14:paraId="1CFADDA9" w14:textId="4B3CEAE5" w:rsidR="000E5170" w:rsidRDefault="000E5170" w:rsidP="000E5170"/>
    <w:p w14:paraId="747E35F5" w14:textId="7CC1373D" w:rsidR="00B06FA4" w:rsidRPr="00171272" w:rsidRDefault="00925452" w:rsidP="00384BA8">
      <w:pPr>
        <w:pStyle w:val="CRQuestion"/>
      </w:pPr>
      <w:r>
        <w:t>Q.</w:t>
      </w:r>
      <w:r>
        <w:tab/>
      </w:r>
      <w:r w:rsidR="005C7B7A">
        <w:t xml:space="preserve">HAVE YOU REVIEWED THE CAPITAL STRUCTURES OF THE COMPANIES THAT </w:t>
      </w:r>
      <w:r w:rsidR="0086185D">
        <w:t>MS</w:t>
      </w:r>
      <w:r w:rsidR="00F86861">
        <w:t>.</w:t>
      </w:r>
      <w:r w:rsidR="0086185D">
        <w:t xml:space="preserve"> BU</w:t>
      </w:r>
      <w:r w:rsidR="00095399">
        <w:t>L</w:t>
      </w:r>
      <w:r w:rsidR="0086185D">
        <w:t>KL</w:t>
      </w:r>
      <w:r w:rsidR="00095399">
        <w:t>E</w:t>
      </w:r>
      <w:r w:rsidR="0086185D">
        <w:t>Y</w:t>
      </w:r>
      <w:r w:rsidR="005C7B7A">
        <w:t xml:space="preserve"> INCLUDED IN H</w:t>
      </w:r>
      <w:r w:rsidR="00095399">
        <w:t>ER</w:t>
      </w:r>
      <w:r w:rsidR="005C7B7A">
        <w:t xml:space="preserve"> PROXY GROUP?</w:t>
      </w:r>
    </w:p>
    <w:p w14:paraId="28E8EDB8" w14:textId="400DD6A5" w:rsidR="005C7B7A" w:rsidRPr="001604BE" w:rsidRDefault="001604BE" w:rsidP="001604BE">
      <w:pPr>
        <w:pStyle w:val="CRAnswer"/>
      </w:pPr>
      <w:r>
        <w:t>A.</w:t>
      </w:r>
      <w:r>
        <w:tab/>
      </w:r>
      <w:r w:rsidR="005C7B7A" w:rsidRPr="001604BE">
        <w:t xml:space="preserve">Yes.  Those capital structures appear in </w:t>
      </w:r>
      <w:r w:rsidR="0086185D" w:rsidRPr="001604BE">
        <w:t>Ms</w:t>
      </w:r>
      <w:r>
        <w:t>.</w:t>
      </w:r>
      <w:r w:rsidR="0086185D" w:rsidRPr="001604BE">
        <w:t xml:space="preserve"> </w:t>
      </w:r>
      <w:r w:rsidR="006E6B3A" w:rsidRPr="001604BE">
        <w:t>Bulkley</w:t>
      </w:r>
      <w:r w:rsidR="0086185D" w:rsidRPr="001604BE">
        <w:t>’s</w:t>
      </w:r>
      <w:r w:rsidR="005C7B7A" w:rsidRPr="001604BE">
        <w:t xml:space="preserve"> </w:t>
      </w:r>
      <w:r w:rsidR="00D07CEA" w:rsidRPr="001604BE">
        <w:t>Exhibit</w:t>
      </w:r>
      <w:r w:rsidR="005C7B7A" w:rsidRPr="001604BE">
        <w:t xml:space="preserve"> </w:t>
      </w:r>
      <w:r w:rsidR="003857CF" w:rsidRPr="00384BA8">
        <w:t>AEB-</w:t>
      </w:r>
      <w:r w:rsidR="00E52F73">
        <w:t>14</w:t>
      </w:r>
      <w:r w:rsidR="005C7B7A" w:rsidRPr="00205650">
        <w:t>.</w:t>
      </w:r>
    </w:p>
    <w:p w14:paraId="0AF46D1C" w14:textId="5E39C54A" w:rsidR="00B06FA4" w:rsidRDefault="00B06FA4" w:rsidP="001604BE">
      <w:pPr>
        <w:pStyle w:val="CRQuestion"/>
      </w:pPr>
      <w:r>
        <w:t>Q.</w:t>
      </w:r>
      <w:r>
        <w:tab/>
        <w:t xml:space="preserve">IS A CAPITAL STRUCTURE WITH </w:t>
      </w:r>
      <w:r w:rsidR="0086185D">
        <w:t>4</w:t>
      </w:r>
      <w:r w:rsidR="008A4F40">
        <w:t>4.</w:t>
      </w:r>
      <w:r w:rsidR="00202B43">
        <w:t>90</w:t>
      </w:r>
      <w:r w:rsidR="005C7B7A">
        <w:t>%</w:t>
      </w:r>
      <w:r>
        <w:t xml:space="preserve"> COMMON EQUITY </w:t>
      </w:r>
      <w:r w:rsidR="005C7B7A">
        <w:t>REASONABLE WHEN COMPARED TO CAPI</w:t>
      </w:r>
      <w:r>
        <w:t xml:space="preserve">TAL STRUCTURES OF THE COMPANIES IN </w:t>
      </w:r>
      <w:r w:rsidR="0086185D">
        <w:t xml:space="preserve">THAT </w:t>
      </w:r>
      <w:r>
        <w:t>PROXY GROUP</w:t>
      </w:r>
      <w:r w:rsidR="00280055">
        <w:t>?</w:t>
      </w:r>
    </w:p>
    <w:p w14:paraId="4F68B647" w14:textId="2DF5C584" w:rsidR="008A163F" w:rsidRPr="008A163F" w:rsidRDefault="00B06FA4" w:rsidP="00AF113F">
      <w:pPr>
        <w:pStyle w:val="CRAnswer"/>
      </w:pPr>
      <w:r w:rsidRPr="00EF01FD">
        <w:t>A.</w:t>
      </w:r>
      <w:r w:rsidRPr="00EF01FD">
        <w:tab/>
      </w:r>
      <w:r w:rsidR="00BA0F76">
        <w:t>As mentioned earlier, the capital structure</w:t>
      </w:r>
      <w:r w:rsidR="00230B66">
        <w:t xml:space="preserve"> </w:t>
      </w:r>
      <w:r w:rsidR="00A94C46">
        <w:t>proposed in</w:t>
      </w:r>
      <w:r w:rsidR="00230B66">
        <w:t xml:space="preserve"> CenterPoint Houston</w:t>
      </w:r>
      <w:r w:rsidR="00A94C46">
        <w:t xml:space="preserve">’s </w:t>
      </w:r>
      <w:r w:rsidR="00076CA6">
        <w:t>Rate Filing Package</w:t>
      </w:r>
      <w:r w:rsidR="00230B66">
        <w:t xml:space="preserve"> is conservative.</w:t>
      </w:r>
      <w:r w:rsidRPr="00EF01FD" w:rsidDel="00CD228B">
        <w:t xml:space="preserve"> </w:t>
      </w:r>
      <w:r w:rsidR="005C7B7A" w:rsidDel="00CD228B">
        <w:t xml:space="preserve"> </w:t>
      </w:r>
      <w:r w:rsidR="005C7B7A">
        <w:t xml:space="preserve">As shown on </w:t>
      </w:r>
      <w:r w:rsidR="00076CA6">
        <w:t xml:space="preserve">Company witness </w:t>
      </w:r>
      <w:r w:rsidR="00AF113F">
        <w:t xml:space="preserve">Ms. </w:t>
      </w:r>
      <w:r w:rsidR="00076CA6">
        <w:t>Bulkley</w:t>
      </w:r>
      <w:r w:rsidR="006E6B3A">
        <w:t>’</w:t>
      </w:r>
      <w:r w:rsidR="0086185D">
        <w:t>s</w:t>
      </w:r>
      <w:r w:rsidR="005C7B7A">
        <w:t xml:space="preserve"> </w:t>
      </w:r>
      <w:r w:rsidR="003857CF">
        <w:t xml:space="preserve">Exhibit </w:t>
      </w:r>
      <w:r w:rsidR="003857CF" w:rsidRPr="00384BA8">
        <w:t>AEB-</w:t>
      </w:r>
      <w:r w:rsidR="00DA72F2">
        <w:t>14</w:t>
      </w:r>
      <w:r w:rsidR="00610E0A" w:rsidRPr="00CD228B">
        <w:t>,</w:t>
      </w:r>
      <w:r w:rsidR="005C7B7A">
        <w:t xml:space="preserve"> the</w:t>
      </w:r>
      <w:r w:rsidR="003857CF">
        <w:t xml:space="preserve"> </w:t>
      </w:r>
      <w:r w:rsidR="00CD228B" w:rsidRPr="00CD228B">
        <w:t xml:space="preserve">equity ratios for the utility operating subsidiaries of the </w:t>
      </w:r>
      <w:r w:rsidR="005B4B48">
        <w:t xml:space="preserve">Company’s </w:t>
      </w:r>
      <w:r w:rsidR="00CD228B" w:rsidRPr="00CD228B">
        <w:t>proxy group</w:t>
      </w:r>
      <w:r w:rsidR="005B4B48">
        <w:t xml:space="preserve"> </w:t>
      </w:r>
      <w:r w:rsidR="00CD228B" w:rsidRPr="00CD228B">
        <w:t>average</w:t>
      </w:r>
      <w:r w:rsidR="00CD228B" w:rsidRPr="00CD228B" w:rsidDel="00793F27">
        <w:t xml:space="preserve"> </w:t>
      </w:r>
      <w:r w:rsidR="00793F27">
        <w:t>52.42</w:t>
      </w:r>
      <w:r w:rsidR="00CE77A4">
        <w:t>%</w:t>
      </w:r>
      <w:r w:rsidR="00CD228B" w:rsidRPr="00CD228B">
        <w:t xml:space="preserve">.  </w:t>
      </w:r>
      <w:r w:rsidR="0086185D">
        <w:t>T</w:t>
      </w:r>
      <w:r w:rsidR="005C7B7A">
        <w:t xml:space="preserve">hose percentages are considerably higher than the </w:t>
      </w:r>
      <w:r w:rsidR="008F709A">
        <w:t>44.90</w:t>
      </w:r>
      <w:r w:rsidR="005C7B7A">
        <w:t>% equity ratio requested by CenterPoint Houston in this case.</w:t>
      </w:r>
    </w:p>
    <w:p w14:paraId="24BFBB6C" w14:textId="60E9386D" w:rsidR="002A39A0" w:rsidRPr="00D744B2" w:rsidRDefault="002A39A0" w:rsidP="00E175EA">
      <w:pPr>
        <w:pStyle w:val="CROutline2"/>
        <w:keepNext/>
        <w:tabs>
          <w:tab w:val="clear" w:pos="1152"/>
          <w:tab w:val="num" w:pos="1440"/>
        </w:tabs>
        <w:ind w:left="1440"/>
      </w:pPr>
      <w:bookmarkStart w:id="41" w:name="_Toc159433766"/>
      <w:bookmarkStart w:id="42" w:name="_Toc159434280"/>
      <w:r w:rsidRPr="00D744B2">
        <w:t>Summary of Capital Structure Recommendation</w:t>
      </w:r>
      <w:bookmarkEnd w:id="41"/>
      <w:bookmarkEnd w:id="42"/>
    </w:p>
    <w:p w14:paraId="6A85EC62" w14:textId="77777777" w:rsidR="002A39A0" w:rsidRPr="00C30879" w:rsidRDefault="002A39A0" w:rsidP="00D744B2">
      <w:pPr>
        <w:pStyle w:val="CRQuestion"/>
      </w:pPr>
      <w:r w:rsidRPr="00C30879">
        <w:t xml:space="preserve">Q. </w:t>
      </w:r>
      <w:r w:rsidRPr="00C30879">
        <w:tab/>
        <w:t>HOW WOULD YOU SUMMARIZE THE DATA THAT YOU HAVE REVIEWED AND PRESENTED IN THIS TESTIMONY ON THE MATTER OF CAPITAL STRUCTURE?</w:t>
      </w:r>
    </w:p>
    <w:p w14:paraId="03ED5C56" w14:textId="2033C4BE" w:rsidR="003857CF" w:rsidRDefault="002A39A0" w:rsidP="00D744B2">
      <w:pPr>
        <w:pStyle w:val="CRAnswer"/>
      </w:pPr>
      <w:r>
        <w:lastRenderedPageBreak/>
        <w:t>A.</w:t>
      </w:r>
      <w:r>
        <w:tab/>
        <w:t xml:space="preserve">The data and testimony I have presented demonstrate the reasonableness of using a </w:t>
      </w:r>
      <w:r w:rsidR="00705839">
        <w:t>55</w:t>
      </w:r>
      <w:r w:rsidR="00B00B36">
        <w:t>.10</w:t>
      </w:r>
      <w:r w:rsidR="00705839">
        <w:t xml:space="preserve">% long-term debt and </w:t>
      </w:r>
      <w:r w:rsidR="00B00B36">
        <w:t>44.90</w:t>
      </w:r>
      <w:r w:rsidR="00705839">
        <w:t>% equity</w:t>
      </w:r>
      <w:r>
        <w:t xml:space="preserve"> capital structure.</w:t>
      </w:r>
      <w:r w:rsidR="00A92349">
        <w:t xml:space="preserve">  </w:t>
      </w:r>
      <w:r w:rsidR="0086185D">
        <w:t>That structure is</w:t>
      </w:r>
      <w:r>
        <w:t xml:space="preserve"> in the best interest of </w:t>
      </w:r>
      <w:r w:rsidR="00650B26">
        <w:t>the</w:t>
      </w:r>
      <w:r>
        <w:t xml:space="preserve"> </w:t>
      </w:r>
      <w:r w:rsidR="00650B26">
        <w:t>customers</w:t>
      </w:r>
      <w:r>
        <w:t xml:space="preserve"> and the communities we serve for the local transmission and distribution utility to have a single</w:t>
      </w:r>
      <w:r w:rsidR="00121157">
        <w:t xml:space="preserve"> </w:t>
      </w:r>
      <w:r>
        <w:t>A</w:t>
      </w:r>
      <w:r w:rsidR="00121157">
        <w:t>3</w:t>
      </w:r>
      <w:r>
        <w:t xml:space="preserve"> credit rating </w:t>
      </w:r>
      <w:r w:rsidR="00181E70">
        <w:t xml:space="preserve">or greater </w:t>
      </w:r>
      <w:r>
        <w:t xml:space="preserve">because such rating is expected to allow the utility to raise funds as needed, on reasonable terms, </w:t>
      </w:r>
      <w:r w:rsidR="00384C8D">
        <w:t xml:space="preserve">to finance the ongoing capital investment and improvements in our electric system </w:t>
      </w:r>
      <w:r>
        <w:t>even in the face of adverse conditions (whether that be a hurricane that affects the utility or developments in the bank or capital markets that affect all companies in the industry).</w:t>
      </w:r>
      <w:r w:rsidR="00384C8D">
        <w:t xml:space="preserve"> </w:t>
      </w:r>
      <w:bookmarkEnd w:id="23"/>
    </w:p>
    <w:p w14:paraId="7D568383" w14:textId="7B5A83C4" w:rsidR="003A41AB" w:rsidRDefault="00D744B2" w:rsidP="00496B69">
      <w:pPr>
        <w:pStyle w:val="CRAnswer"/>
        <w:rPr>
          <w:u w:val="single"/>
        </w:rPr>
      </w:pPr>
      <w:r>
        <w:tab/>
      </w:r>
      <w:r w:rsidR="00E175EA">
        <w:tab/>
      </w:r>
      <w:r w:rsidR="003857CF">
        <w:t xml:space="preserve">This recommendation is also in the best interest of </w:t>
      </w:r>
      <w:r w:rsidR="00DD00B9">
        <w:t>the Company</w:t>
      </w:r>
      <w:r w:rsidR="00843520">
        <w:t xml:space="preserve"> as it has</w:t>
      </w:r>
      <w:r w:rsidR="00DD00B9">
        <w:t xml:space="preserve"> continued </w:t>
      </w:r>
      <w:r w:rsidR="00843520">
        <w:t>reliance on</w:t>
      </w:r>
      <w:r w:rsidR="00DD00B9">
        <w:t xml:space="preserve"> capital market</w:t>
      </w:r>
      <w:r w:rsidR="00651A13">
        <w:t>s</w:t>
      </w:r>
      <w:r w:rsidR="00843520">
        <w:t xml:space="preserve"> to fund customer-driven investments</w:t>
      </w:r>
      <w:r w:rsidR="003857CF">
        <w:t xml:space="preserve">. </w:t>
      </w:r>
      <w:r w:rsidR="003857CF">
        <w:rPr>
          <w:rStyle w:val="normaltextrun"/>
          <w:color w:val="000000"/>
          <w:shd w:val="clear" w:color="auto" w:fill="FFFFFF"/>
        </w:rPr>
        <w:t>As leverage increases, a company has less financial flexibility, due to the need to service the fixed payments associated with the debt.  This reduced financial flexibility results in greater financial risk for the company, resulting from lower overall coverage ratios.  Further, higher leverage increases the risk to equity holders, which are the last claimants on company assets.</w:t>
      </w:r>
    </w:p>
    <w:p w14:paraId="6DC20C56" w14:textId="6C7FC932" w:rsidR="004C5AEB" w:rsidRPr="003A41AB" w:rsidRDefault="004C5AEB" w:rsidP="003A41AB">
      <w:pPr>
        <w:pStyle w:val="CROutline1"/>
      </w:pPr>
      <w:bookmarkStart w:id="43" w:name="_Toc159433767"/>
      <w:bookmarkStart w:id="44" w:name="_Toc159434281"/>
      <w:r w:rsidRPr="003A41AB">
        <w:t xml:space="preserve">COST </w:t>
      </w:r>
      <w:r w:rsidR="00A77C1F" w:rsidRPr="003A41AB">
        <w:t>OF DEBT CAP</w:t>
      </w:r>
      <w:r w:rsidRPr="003A41AB">
        <w:t>IT</w:t>
      </w:r>
      <w:r w:rsidR="005A05F4" w:rsidRPr="003A41AB">
        <w:t>AL</w:t>
      </w:r>
      <w:bookmarkEnd w:id="43"/>
      <w:bookmarkEnd w:id="44"/>
      <w:r w:rsidRPr="003A41AB">
        <w:t xml:space="preserve"> </w:t>
      </w:r>
    </w:p>
    <w:p w14:paraId="48603DA5" w14:textId="77777777" w:rsidR="00886327" w:rsidRDefault="00C22DC2" w:rsidP="00277E3B">
      <w:pPr>
        <w:pStyle w:val="CRQuestion"/>
      </w:pPr>
      <w:r>
        <w:t>Q.</w:t>
      </w:r>
      <w:r>
        <w:tab/>
        <w:t>WHAT TOPIC DO YOU DISCUSS IN THIS SECTION OF YOUR TESTIMONY?</w:t>
      </w:r>
    </w:p>
    <w:p w14:paraId="2F29CD44" w14:textId="524E5E9D" w:rsidR="00C22DC2" w:rsidRPr="00C22DC2" w:rsidRDefault="00C22DC2" w:rsidP="00277E3B">
      <w:pPr>
        <w:pStyle w:val="CRAnswer"/>
      </w:pPr>
      <w:r>
        <w:t>A.</w:t>
      </w:r>
      <w:r>
        <w:tab/>
        <w:t>I describe CenterPoint Houston’s embedded cost of long-term debt</w:t>
      </w:r>
      <w:r w:rsidR="00B16FB9">
        <w:t>.</w:t>
      </w:r>
    </w:p>
    <w:p w14:paraId="71B479E0" w14:textId="77BB5CBC" w:rsidR="00886327" w:rsidRPr="00C22DC2" w:rsidRDefault="00C22DC2" w:rsidP="00277E3B">
      <w:pPr>
        <w:pStyle w:val="CRQuestion"/>
      </w:pPr>
      <w:r w:rsidRPr="00C22DC2">
        <w:t>Q.</w:t>
      </w:r>
      <w:r w:rsidRPr="00C22DC2">
        <w:tab/>
        <w:t>WHAT IS THE COMPANY</w:t>
      </w:r>
      <w:r w:rsidR="00B754C3">
        <w:t>’</w:t>
      </w:r>
      <w:r w:rsidRPr="00C22DC2">
        <w:t xml:space="preserve">S </w:t>
      </w:r>
      <w:r w:rsidR="00B16FB9">
        <w:t>CURRENT EMBEDDED</w:t>
      </w:r>
      <w:r w:rsidRPr="00C22DC2">
        <w:t xml:space="preserve"> COST OF LONG</w:t>
      </w:r>
      <w:r w:rsidR="005027A0">
        <w:noBreakHyphen/>
      </w:r>
      <w:r w:rsidRPr="00C22DC2">
        <w:t>TERM DEBT IN THIS CASE?</w:t>
      </w:r>
    </w:p>
    <w:p w14:paraId="33B46DDA" w14:textId="21942DBF" w:rsidR="00C22DC2" w:rsidRPr="00C22DC2" w:rsidRDefault="00C22DC2" w:rsidP="000D357C">
      <w:pPr>
        <w:pStyle w:val="CRAnswer"/>
      </w:pPr>
      <w:r>
        <w:t>A</w:t>
      </w:r>
      <w:r w:rsidRPr="00C22DC2">
        <w:t>.</w:t>
      </w:r>
      <w:r w:rsidRPr="00C22DC2">
        <w:tab/>
      </w:r>
      <w:r w:rsidR="00494D21">
        <w:t xml:space="preserve">CenterPoint Houston’s </w:t>
      </w:r>
      <w:r w:rsidR="00B16FB9">
        <w:t>current embedded</w:t>
      </w:r>
      <w:r w:rsidR="00494D21">
        <w:t xml:space="preserve"> cost of long-term debt is </w:t>
      </w:r>
      <w:r w:rsidR="00E10F28">
        <w:t>4.29%</w:t>
      </w:r>
      <w:r w:rsidR="002D4CEB">
        <w:t xml:space="preserve">. </w:t>
      </w:r>
    </w:p>
    <w:p w14:paraId="2BE71831" w14:textId="38FE92F6" w:rsidR="00886327" w:rsidRDefault="00494D21" w:rsidP="00277E3B">
      <w:pPr>
        <w:pStyle w:val="CRQuestion"/>
      </w:pPr>
      <w:r w:rsidRPr="00C22DC2">
        <w:lastRenderedPageBreak/>
        <w:t>Q.</w:t>
      </w:r>
      <w:r w:rsidRPr="00C22DC2">
        <w:tab/>
        <w:t xml:space="preserve">HOW </w:t>
      </w:r>
      <w:r>
        <w:t>DID CENTERPOINT HOUSTON CALCULATE</w:t>
      </w:r>
      <w:r w:rsidRPr="00C22DC2">
        <w:t xml:space="preserve"> THAT </w:t>
      </w:r>
      <w:r>
        <w:t>LONG</w:t>
      </w:r>
      <w:r w:rsidR="005027A0">
        <w:noBreakHyphen/>
      </w:r>
      <w:r>
        <w:t xml:space="preserve">TERM DEBT </w:t>
      </w:r>
      <w:r w:rsidRPr="00C22DC2">
        <w:t>RATE?</w:t>
      </w:r>
    </w:p>
    <w:p w14:paraId="792484EA" w14:textId="1C762EBF" w:rsidR="00523D29" w:rsidRDefault="00494D21" w:rsidP="00277E3B">
      <w:pPr>
        <w:pStyle w:val="CRAnswer"/>
      </w:pPr>
      <w:r w:rsidRPr="00494D21">
        <w:t>A.</w:t>
      </w:r>
      <w:r w:rsidRPr="00494D21">
        <w:tab/>
      </w:r>
      <w:r w:rsidR="0098553A">
        <w:t>The cost of debt was calculated</w:t>
      </w:r>
      <w:r w:rsidR="00403B4E">
        <w:t xml:space="preserve"> in Schedules II-C-2.4 and II-C-2.4a</w:t>
      </w:r>
      <w:r w:rsidR="0098553A">
        <w:t>.  The cost of debt percentage is calculated as the adjusted annual debt requirement</w:t>
      </w:r>
      <w:r w:rsidR="002D6F9F">
        <w:rPr>
          <w:rStyle w:val="FootnoteReference"/>
        </w:rPr>
        <w:footnoteReference w:id="15"/>
      </w:r>
      <w:r w:rsidR="0098553A">
        <w:t xml:space="preserve"> divided by the net balance of debt as of </w:t>
      </w:r>
      <w:r w:rsidR="00D07CEA">
        <w:t xml:space="preserve">December 31, </w:t>
      </w:r>
      <w:r w:rsidR="0098553A">
        <w:t>20</w:t>
      </w:r>
      <w:r w:rsidR="00837546">
        <w:t>23</w:t>
      </w:r>
      <w:r w:rsidR="0098553A">
        <w:t xml:space="preserve">. </w:t>
      </w:r>
    </w:p>
    <w:p w14:paraId="60B66EBA" w14:textId="77777777" w:rsidR="00C22DC2" w:rsidRDefault="00C22DC2" w:rsidP="00277E3B">
      <w:pPr>
        <w:pStyle w:val="CRQuestion"/>
      </w:pPr>
      <w:r>
        <w:t>Q.</w:t>
      </w:r>
      <w:r>
        <w:tab/>
        <w:t>HAVE DEBT COSTS BEEN INCREASING RECENTLY?</w:t>
      </w:r>
    </w:p>
    <w:p w14:paraId="43C15619" w14:textId="75D0882A" w:rsidR="00C7586E" w:rsidRDefault="00C22DC2" w:rsidP="00277E3B">
      <w:pPr>
        <w:pStyle w:val="CRAnswer"/>
      </w:pPr>
      <w:r>
        <w:t>A.</w:t>
      </w:r>
      <w:r>
        <w:tab/>
      </w:r>
      <w:r w:rsidRPr="00837546">
        <w:t xml:space="preserve">Yes. </w:t>
      </w:r>
      <w:r w:rsidR="000D357C" w:rsidRPr="00837546">
        <w:t xml:space="preserve"> </w:t>
      </w:r>
      <w:r w:rsidRPr="00837546">
        <w:t xml:space="preserve">The cost of short-term and long-term debt has increased significantly in the past few years, primarily as the result of rising interest rates.  This can be viewed in CenterPoint Houston’s two most recent bond offerings.  In </w:t>
      </w:r>
      <w:r w:rsidR="0086185D" w:rsidRPr="00837546">
        <w:t xml:space="preserve">March </w:t>
      </w:r>
      <w:r w:rsidRPr="00837546">
        <w:t>of 20</w:t>
      </w:r>
      <w:r w:rsidR="0086185D" w:rsidRPr="00837546">
        <w:t>23</w:t>
      </w:r>
      <w:r w:rsidR="000D357C" w:rsidRPr="00837546">
        <w:t>,</w:t>
      </w:r>
      <w:r w:rsidRPr="00837546">
        <w:t xml:space="preserve"> a 10</w:t>
      </w:r>
      <w:r w:rsidR="00076CA6">
        <w:noBreakHyphen/>
      </w:r>
      <w:r w:rsidRPr="00837546">
        <w:t xml:space="preserve">year bond was issued at a rate of </w:t>
      </w:r>
      <w:r w:rsidR="00DF2D88">
        <w:t>4.98</w:t>
      </w:r>
      <w:r w:rsidRPr="00837546">
        <w:t>%.  Several months later</w:t>
      </w:r>
      <w:r w:rsidR="000D357C" w:rsidRPr="00837546">
        <w:t>,</w:t>
      </w:r>
      <w:r w:rsidRPr="00837546">
        <w:t xml:space="preserve"> a</w:t>
      </w:r>
      <w:r w:rsidR="00944F46">
        <w:t xml:space="preserve"> 5</w:t>
      </w:r>
      <w:r w:rsidRPr="00837546">
        <w:t xml:space="preserve">-year bond was offered in </w:t>
      </w:r>
      <w:r w:rsidR="00EF485C" w:rsidRPr="00837546">
        <w:t>September</w:t>
      </w:r>
      <w:r w:rsidRPr="00837546">
        <w:t xml:space="preserve"> at a rate of</w:t>
      </w:r>
      <w:r w:rsidR="00944F46">
        <w:t xml:space="preserve"> 5.2</w:t>
      </w:r>
      <w:r w:rsidRPr="00837546">
        <w:t xml:space="preserve">%. </w:t>
      </w:r>
      <w:r w:rsidR="000D357C" w:rsidRPr="00837546">
        <w:t xml:space="preserve"> </w:t>
      </w:r>
      <w:r w:rsidRPr="00837546">
        <w:t xml:space="preserve">That represents a </w:t>
      </w:r>
      <w:r w:rsidR="008E3A4D">
        <w:t>4</w:t>
      </w:r>
      <w:r w:rsidRPr="00837546">
        <w:t xml:space="preserve">% increase in the coupon </w:t>
      </w:r>
      <w:r w:rsidR="008E3A4D">
        <w:t xml:space="preserve">for half of the duration bond </w:t>
      </w:r>
      <w:r w:rsidRPr="00837546">
        <w:t>over a rela</w:t>
      </w:r>
      <w:r w:rsidR="00EE384C" w:rsidRPr="00837546">
        <w:t>tively short amount of time.</w:t>
      </w:r>
      <w:r w:rsidR="00EF485C" w:rsidRPr="00837546">
        <w:t xml:space="preserve"> </w:t>
      </w:r>
      <w:r w:rsidR="00B754C3">
        <w:t xml:space="preserve"> </w:t>
      </w:r>
    </w:p>
    <w:p w14:paraId="0EEC5985" w14:textId="5BEE6EFE" w:rsidR="00837546" w:rsidRPr="00180C29" w:rsidRDefault="00C7586E" w:rsidP="00277E3B">
      <w:pPr>
        <w:pStyle w:val="CRAnswer"/>
      </w:pPr>
      <w:r>
        <w:tab/>
      </w:r>
      <w:r w:rsidR="00E175EA">
        <w:tab/>
      </w:r>
      <w:r w:rsidR="00837546" w:rsidRPr="00180C29">
        <w:t>As shown in the table below</w:t>
      </w:r>
      <w:r w:rsidR="006E6B3A">
        <w:t xml:space="preserve"> </w:t>
      </w:r>
      <w:r>
        <w:t>referenced from</w:t>
      </w:r>
      <w:r w:rsidR="006E6B3A">
        <w:t xml:space="preserve"> </w:t>
      </w:r>
      <w:r w:rsidR="0024319C">
        <w:t xml:space="preserve">Figure </w:t>
      </w:r>
      <w:r w:rsidR="00C870CA">
        <w:t>AEB-4</w:t>
      </w:r>
      <w:r w:rsidR="0024319C">
        <w:t xml:space="preserve"> of </w:t>
      </w:r>
      <w:r w:rsidR="00354981">
        <w:t>the Direct Testimony of Ann E.</w:t>
      </w:r>
      <w:r w:rsidR="00AF113F">
        <w:t xml:space="preserve"> Bulkley</w:t>
      </w:r>
      <w:r>
        <w:t>,</w:t>
      </w:r>
      <w:r w:rsidR="00837546" w:rsidRPr="00180C29">
        <w:t xml:space="preserve"> </w:t>
      </w:r>
      <w:r w:rsidR="00837546">
        <w:t>the underlying 10-year treasury bond yield</w:t>
      </w:r>
      <w:r w:rsidR="001565B4">
        <w:t xml:space="preserve"> remains at approximately </w:t>
      </w:r>
      <w:r w:rsidR="005C51F3">
        <w:t>4.00%</w:t>
      </w:r>
      <w:r w:rsidR="00837546">
        <w:t>.</w:t>
      </w:r>
    </w:p>
    <w:p w14:paraId="2EDB4C05" w14:textId="054F5874" w:rsidR="00C7586E" w:rsidRDefault="00C7586E" w:rsidP="00A4778E">
      <w:pPr>
        <w:pStyle w:val="Caption"/>
        <w:keepNext/>
        <w:spacing w:after="240"/>
        <w:ind w:left="720"/>
      </w:pPr>
      <w:r>
        <w:lastRenderedPageBreak/>
        <w:tab/>
        <w:t xml:space="preserve">Table </w:t>
      </w:r>
      <w:r w:rsidR="00D0582E">
        <w:t>JRichert</w:t>
      </w:r>
      <w:r w:rsidR="002827DB">
        <w:t>-</w:t>
      </w:r>
      <w:r w:rsidR="00DA218B">
        <w:t>10</w:t>
      </w:r>
      <w:r>
        <w:t>: 10-Year Treasury Bond Yield, January 20</w:t>
      </w:r>
      <w:r w:rsidR="00C716BA">
        <w:t>19</w:t>
      </w:r>
      <w:r>
        <w:t>–</w:t>
      </w:r>
      <w:r w:rsidR="002C0E4B">
        <w:t>January 2024</w:t>
      </w:r>
    </w:p>
    <w:p w14:paraId="754B4D8F" w14:textId="1BB41414" w:rsidR="009C23E8" w:rsidRDefault="00F80BF0" w:rsidP="000E3A47">
      <w:pPr>
        <w:ind w:left="720"/>
        <w:jc w:val="center"/>
        <w:rPr>
          <w:b/>
          <w:szCs w:val="24"/>
          <w:u w:val="single"/>
        </w:rPr>
      </w:pPr>
      <w:r w:rsidRPr="00152B00">
        <w:rPr>
          <w:noProof/>
        </w:rPr>
        <w:drawing>
          <wp:inline distT="0" distB="0" distL="0" distR="0" wp14:anchorId="46CED43A" wp14:editId="44014E3A">
            <wp:extent cx="5486400" cy="3268980"/>
            <wp:effectExtent l="19050" t="19050" r="19050" b="266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0" cy="3268980"/>
                    </a:xfrm>
                    <a:prstGeom prst="rect">
                      <a:avLst/>
                    </a:prstGeom>
                    <a:noFill/>
                    <a:ln>
                      <a:solidFill>
                        <a:schemeClr val="tx1"/>
                      </a:solidFill>
                    </a:ln>
                  </pic:spPr>
                </pic:pic>
              </a:graphicData>
            </a:graphic>
          </wp:inline>
        </w:drawing>
      </w:r>
    </w:p>
    <w:p w14:paraId="485D22DE" w14:textId="77777777" w:rsidR="007578CB" w:rsidRDefault="007578CB" w:rsidP="007578CB">
      <w:pPr>
        <w:spacing w:line="480" w:lineRule="auto"/>
        <w:ind w:left="720"/>
        <w:jc w:val="center"/>
        <w:rPr>
          <w:b/>
          <w:szCs w:val="24"/>
          <w:u w:val="single"/>
        </w:rPr>
      </w:pPr>
    </w:p>
    <w:p w14:paraId="6F00F85B" w14:textId="5330BCD2" w:rsidR="008A3AE1" w:rsidRPr="009C23E8" w:rsidRDefault="008A3AE1" w:rsidP="009C23E8">
      <w:pPr>
        <w:pStyle w:val="CROutline1"/>
      </w:pPr>
      <w:bookmarkStart w:id="45" w:name="_Toc159433768"/>
      <w:bookmarkStart w:id="46" w:name="_Toc159434282"/>
      <w:r w:rsidRPr="009C23E8">
        <w:t>COST OF EQUITY CAPITAL AND RATE OF RETURN</w:t>
      </w:r>
      <w:bookmarkEnd w:id="45"/>
      <w:bookmarkEnd w:id="46"/>
    </w:p>
    <w:p w14:paraId="6647C0FE" w14:textId="542B7E6B" w:rsidR="008A3AE1" w:rsidRPr="00026721" w:rsidRDefault="008A3AE1" w:rsidP="00751AF1">
      <w:pPr>
        <w:pStyle w:val="CRQuestion"/>
        <w:rPr>
          <w:b w:val="0"/>
        </w:rPr>
      </w:pPr>
      <w:r w:rsidRPr="00026721">
        <w:t>Q.</w:t>
      </w:r>
      <w:r w:rsidRPr="00026721">
        <w:tab/>
      </w:r>
      <w:r w:rsidRPr="00026721">
        <w:rPr>
          <w:b w:val="0"/>
        </w:rPr>
        <w:t xml:space="preserve">HAVE YOU REVIEWED THE </w:t>
      </w:r>
      <w:r w:rsidR="00076CA6">
        <w:rPr>
          <w:b w:val="0"/>
        </w:rPr>
        <w:t xml:space="preserve">DIRECT </w:t>
      </w:r>
      <w:r w:rsidRPr="00026721">
        <w:rPr>
          <w:b w:val="0"/>
        </w:rPr>
        <w:t xml:space="preserve">TESTIMONY OF </w:t>
      </w:r>
      <w:r w:rsidR="00076CA6">
        <w:rPr>
          <w:b w:val="0"/>
        </w:rPr>
        <w:t>ANN E.</w:t>
      </w:r>
      <w:r w:rsidR="00485642">
        <w:rPr>
          <w:b w:val="0"/>
        </w:rPr>
        <w:t xml:space="preserve"> BU</w:t>
      </w:r>
      <w:r w:rsidR="00D649D0">
        <w:rPr>
          <w:b w:val="0"/>
        </w:rPr>
        <w:t>L</w:t>
      </w:r>
      <w:r w:rsidR="00485642">
        <w:rPr>
          <w:b w:val="0"/>
        </w:rPr>
        <w:t>KL</w:t>
      </w:r>
      <w:r w:rsidR="00D649D0">
        <w:rPr>
          <w:b w:val="0"/>
        </w:rPr>
        <w:t>E</w:t>
      </w:r>
      <w:r w:rsidR="00485642">
        <w:rPr>
          <w:b w:val="0"/>
        </w:rPr>
        <w:t>Y</w:t>
      </w:r>
      <w:r w:rsidRPr="00026721">
        <w:rPr>
          <w:b w:val="0"/>
        </w:rPr>
        <w:t xml:space="preserve"> IN WHICH </w:t>
      </w:r>
      <w:r w:rsidR="00D649D0">
        <w:rPr>
          <w:b w:val="0"/>
        </w:rPr>
        <w:t>S</w:t>
      </w:r>
      <w:r w:rsidRPr="00026721">
        <w:rPr>
          <w:b w:val="0"/>
        </w:rPr>
        <w:t xml:space="preserve">HE PROPOSES A </w:t>
      </w:r>
      <w:r w:rsidR="001F7C18">
        <w:rPr>
          <w:b w:val="0"/>
        </w:rPr>
        <w:t>10.6</w:t>
      </w:r>
      <w:r w:rsidRPr="00026721">
        <w:rPr>
          <w:b w:val="0"/>
        </w:rPr>
        <w:t xml:space="preserve">% </w:t>
      </w:r>
      <w:r w:rsidR="00B83A6C">
        <w:rPr>
          <w:b w:val="0"/>
        </w:rPr>
        <w:t>ROE</w:t>
      </w:r>
      <w:r w:rsidRPr="00026721">
        <w:rPr>
          <w:b w:val="0"/>
        </w:rPr>
        <w:t xml:space="preserve"> FOR CENTERPOINT HOUSTON?</w:t>
      </w:r>
    </w:p>
    <w:p w14:paraId="7EE60DBF" w14:textId="6D6A3140" w:rsidR="008A3AE1" w:rsidRDefault="008A3AE1" w:rsidP="00751AF1">
      <w:pPr>
        <w:pStyle w:val="CRAnswer"/>
      </w:pPr>
      <w:r>
        <w:t>A.</w:t>
      </w:r>
      <w:r>
        <w:tab/>
        <w:t>Yes.</w:t>
      </w:r>
      <w:r w:rsidR="00A663E2">
        <w:t xml:space="preserve"> </w:t>
      </w:r>
      <w:r>
        <w:t xml:space="preserve"> I have reviewed </w:t>
      </w:r>
      <w:r w:rsidR="00485642">
        <w:t>Ms</w:t>
      </w:r>
      <w:r w:rsidR="00A060F5">
        <w:t>.</w:t>
      </w:r>
      <w:r w:rsidR="00485642">
        <w:t xml:space="preserve"> Bu</w:t>
      </w:r>
      <w:r w:rsidR="0026039B">
        <w:t>l</w:t>
      </w:r>
      <w:r w:rsidR="00485642">
        <w:t>kl</w:t>
      </w:r>
      <w:r w:rsidR="00815BE8">
        <w:t>e</w:t>
      </w:r>
      <w:r w:rsidR="00485642">
        <w:t>y’s</w:t>
      </w:r>
      <w:r>
        <w:t xml:space="preserve"> testimony</w:t>
      </w:r>
      <w:r w:rsidR="00E74D8B">
        <w:t>,</w:t>
      </w:r>
      <w:r>
        <w:t xml:space="preserve"> </w:t>
      </w:r>
      <w:r w:rsidR="003D4B07">
        <w:t>and while</w:t>
      </w:r>
      <w:r>
        <w:t xml:space="preserve"> I agree </w:t>
      </w:r>
      <w:r w:rsidR="00485642">
        <w:t xml:space="preserve">that </w:t>
      </w:r>
      <w:r w:rsidR="001F7C18">
        <w:t>10.6%</w:t>
      </w:r>
      <w:r>
        <w:t xml:space="preserve"> is a </w:t>
      </w:r>
      <w:r w:rsidR="003D4B07">
        <w:t xml:space="preserve">reasonable </w:t>
      </w:r>
      <w:r w:rsidR="00E74D8B">
        <w:t xml:space="preserve">ROE </w:t>
      </w:r>
      <w:r>
        <w:t>for CenterPoint Houston</w:t>
      </w:r>
      <w:r w:rsidR="003D4B07">
        <w:t xml:space="preserve">, the </w:t>
      </w:r>
      <w:r w:rsidR="006A413D">
        <w:t>C</w:t>
      </w:r>
      <w:r w:rsidR="003D4B07">
        <w:t xml:space="preserve">ompany is requesting </w:t>
      </w:r>
      <w:r w:rsidR="00E74D8B">
        <w:t>an ROE of 10.4% after taking into consideration the affordability for customers of the overall return requirement</w:t>
      </w:r>
      <w:r w:rsidR="00D05AF3">
        <w:t>, as discussed in the Direct Testimony of Jason M. Ryan</w:t>
      </w:r>
      <w:r w:rsidR="00E74D8B">
        <w:t xml:space="preserve">. </w:t>
      </w:r>
    </w:p>
    <w:p w14:paraId="73E7242E" w14:textId="340DF066" w:rsidR="008A3AE1" w:rsidRPr="00010942" w:rsidRDefault="008A3AE1" w:rsidP="00B065FE">
      <w:pPr>
        <w:pStyle w:val="CRQuestion"/>
      </w:pPr>
      <w:r w:rsidRPr="00026721">
        <w:t>Q.</w:t>
      </w:r>
      <w:r w:rsidRPr="00026721">
        <w:tab/>
        <w:t xml:space="preserve">WHAT IS THE APPROPRIATE RATE OF </w:t>
      </w:r>
      <w:r w:rsidRPr="005E472F">
        <w:t xml:space="preserve">RETURN FOR CENTERPOINT HOUSTON USING THE </w:t>
      </w:r>
      <w:r w:rsidR="006E4C40" w:rsidRPr="00384BA8">
        <w:t>10.</w:t>
      </w:r>
      <w:r w:rsidR="001A4801">
        <w:t>4</w:t>
      </w:r>
      <w:r w:rsidR="006E4C40" w:rsidRPr="00384BA8">
        <w:t xml:space="preserve">% </w:t>
      </w:r>
      <w:r w:rsidR="004B74C3">
        <w:t>ROE</w:t>
      </w:r>
      <w:r w:rsidRPr="005E472F">
        <w:t xml:space="preserve">, </w:t>
      </w:r>
      <w:r w:rsidR="000622D0">
        <w:t xml:space="preserve">A </w:t>
      </w:r>
      <w:r w:rsidR="006E4C40" w:rsidRPr="006E4C40">
        <w:t xml:space="preserve">4.29% </w:t>
      </w:r>
      <w:r w:rsidRPr="005E472F">
        <w:t xml:space="preserve">COST OF DEBT AND </w:t>
      </w:r>
      <w:r w:rsidR="000622D0">
        <w:t xml:space="preserve">A CAPITAL STRUCTURE COMPOSED OF </w:t>
      </w:r>
      <w:r w:rsidR="004F64FE">
        <w:t>55</w:t>
      </w:r>
      <w:r w:rsidR="00DA6DED">
        <w:t>.10</w:t>
      </w:r>
      <w:r w:rsidR="004F64FE">
        <w:t>%</w:t>
      </w:r>
      <w:r w:rsidR="006E4C40" w:rsidRPr="006E4C40">
        <w:t xml:space="preserve"> </w:t>
      </w:r>
      <w:r w:rsidR="003A7718">
        <w:t>LONG</w:t>
      </w:r>
      <w:r w:rsidR="00076CA6">
        <w:noBreakHyphen/>
      </w:r>
      <w:r w:rsidR="003A7718">
        <w:t xml:space="preserve">TERM </w:t>
      </w:r>
      <w:r w:rsidR="003A7718" w:rsidRPr="005E472F">
        <w:t>DEBT</w:t>
      </w:r>
      <w:r w:rsidR="003A7718">
        <w:t xml:space="preserve"> </w:t>
      </w:r>
      <w:r w:rsidR="00485642">
        <w:t xml:space="preserve">AND </w:t>
      </w:r>
      <w:r w:rsidR="00DA6DED">
        <w:t>44.90</w:t>
      </w:r>
      <w:r w:rsidR="004F64FE">
        <w:t>%</w:t>
      </w:r>
      <w:r w:rsidR="003A7718" w:rsidRPr="005E472F">
        <w:t xml:space="preserve"> EQU</w:t>
      </w:r>
      <w:r w:rsidR="003A7718">
        <w:t>ITY</w:t>
      </w:r>
      <w:r w:rsidR="000622D0">
        <w:t>?</w:t>
      </w:r>
    </w:p>
    <w:p w14:paraId="2EA74E02" w14:textId="50EFA908" w:rsidR="00815BE8" w:rsidRDefault="008A3AE1" w:rsidP="00751AF1">
      <w:pPr>
        <w:pStyle w:val="CRAnswer"/>
      </w:pPr>
      <w:r w:rsidRPr="00010942">
        <w:lastRenderedPageBreak/>
        <w:t>A.</w:t>
      </w:r>
      <w:r w:rsidRPr="00010942">
        <w:tab/>
        <w:t xml:space="preserve">Using a </w:t>
      </w:r>
      <w:r w:rsidR="004F64FE">
        <w:t xml:space="preserve">capital structure </w:t>
      </w:r>
      <w:r w:rsidR="003A3400">
        <w:t xml:space="preserve">consisting of </w:t>
      </w:r>
      <w:r w:rsidR="004373B1" w:rsidRPr="00010942">
        <w:t>5</w:t>
      </w:r>
      <w:r w:rsidR="004373B1">
        <w:t>5</w:t>
      </w:r>
      <w:r w:rsidR="003D3318">
        <w:t>.10</w:t>
      </w:r>
      <w:r w:rsidR="004373B1" w:rsidRPr="00010942">
        <w:t xml:space="preserve">% </w:t>
      </w:r>
      <w:r w:rsidR="004373B1">
        <w:t>long-term d</w:t>
      </w:r>
      <w:r w:rsidR="004373B1" w:rsidRPr="00010942">
        <w:t>e</w:t>
      </w:r>
      <w:r w:rsidR="004373B1">
        <w:t>bt</w:t>
      </w:r>
      <w:r w:rsidR="006E4C40">
        <w:t xml:space="preserve"> and </w:t>
      </w:r>
      <w:r w:rsidR="003D3318">
        <w:t>44.90</w:t>
      </w:r>
      <w:r w:rsidR="004373B1" w:rsidRPr="00010942">
        <w:t xml:space="preserve">% </w:t>
      </w:r>
      <w:r w:rsidR="004373B1">
        <w:t>equity</w:t>
      </w:r>
      <w:r w:rsidRPr="00010942">
        <w:t xml:space="preserve">, a </w:t>
      </w:r>
      <w:r w:rsidR="006E4C40">
        <w:t>4.29%</w:t>
      </w:r>
      <w:r w:rsidRPr="005E472F">
        <w:t xml:space="preserve"> cost of debt</w:t>
      </w:r>
      <w:r w:rsidR="007B79FF">
        <w:t>,</w:t>
      </w:r>
      <w:r w:rsidRPr="005E472F">
        <w:t xml:space="preserve"> and </w:t>
      </w:r>
      <w:r w:rsidR="007B79FF">
        <w:t xml:space="preserve">a </w:t>
      </w:r>
      <w:r w:rsidR="006E4C40">
        <w:t>10.</w:t>
      </w:r>
      <w:r w:rsidR="001A4801">
        <w:t>4</w:t>
      </w:r>
      <w:r w:rsidR="006E4C40">
        <w:t>%</w:t>
      </w:r>
      <w:r w:rsidRPr="005E472F">
        <w:t xml:space="preserve"> </w:t>
      </w:r>
      <w:r w:rsidR="004B74C3">
        <w:t>ROE</w:t>
      </w:r>
      <w:r w:rsidRPr="005E472F">
        <w:t>, the overall rate of</w:t>
      </w:r>
      <w:r w:rsidRPr="00010942">
        <w:t xml:space="preserve"> return for CenterPoint Houston is</w:t>
      </w:r>
      <w:r>
        <w:t xml:space="preserve"> </w:t>
      </w:r>
      <w:r w:rsidR="003A3400">
        <w:t>7.</w:t>
      </w:r>
      <w:r w:rsidR="001A4801">
        <w:t>03</w:t>
      </w:r>
      <w:r w:rsidR="003A3400">
        <w:t>%</w:t>
      </w:r>
      <w:r w:rsidR="00076CA6">
        <w:t xml:space="preserve">. </w:t>
      </w:r>
      <w:r>
        <w:t xml:space="preserve"> That is the rate of return that CenterPoint Houston is asking the Commission to adopt in this proceeding.</w:t>
      </w:r>
      <w:r w:rsidR="003742D1">
        <w:t xml:space="preserve">  Please refer to Schedule </w:t>
      </w:r>
      <w:r w:rsidR="00C93636">
        <w:t>II-C</w:t>
      </w:r>
      <w:r w:rsidR="00E51B9F">
        <w:t xml:space="preserve">-2.1 </w:t>
      </w:r>
      <w:r w:rsidR="003742D1">
        <w:t>for this calculation.</w:t>
      </w:r>
    </w:p>
    <w:p w14:paraId="25B968D6" w14:textId="5D9117B7" w:rsidR="006E4C40" w:rsidRDefault="006E4C40" w:rsidP="003F4E7A">
      <w:pPr>
        <w:pStyle w:val="Caption"/>
        <w:keepNext/>
        <w:spacing w:after="240"/>
        <w:ind w:firstLine="1440"/>
      </w:pPr>
      <w:r>
        <w:tab/>
        <w:t xml:space="preserve">Table </w:t>
      </w:r>
      <w:r w:rsidR="00D0582E">
        <w:t>JRichert</w:t>
      </w:r>
      <w:r w:rsidR="005014B8">
        <w:t>-</w:t>
      </w:r>
      <w:r w:rsidR="00DA218B">
        <w:t>11</w:t>
      </w:r>
      <w:r>
        <w:t xml:space="preserve">: Recommended </w:t>
      </w:r>
      <w:r w:rsidR="0064056B">
        <w:t>Rate of Return</w:t>
      </w:r>
    </w:p>
    <w:tbl>
      <w:tblPr>
        <w:tblW w:w="8635" w:type="dxa"/>
        <w:tblInd w:w="607" w:type="dxa"/>
        <w:tblLook w:val="04A0" w:firstRow="1" w:lastRow="0" w:firstColumn="1" w:lastColumn="0" w:noHBand="0" w:noVBand="1"/>
      </w:tblPr>
      <w:tblGrid>
        <w:gridCol w:w="2340"/>
        <w:gridCol w:w="1607"/>
        <w:gridCol w:w="222"/>
        <w:gridCol w:w="1295"/>
        <w:gridCol w:w="222"/>
        <w:gridCol w:w="1160"/>
        <w:gridCol w:w="222"/>
        <w:gridCol w:w="1567"/>
      </w:tblGrid>
      <w:tr w:rsidR="00722351" w:rsidRPr="00A4778E" w14:paraId="658808DE" w14:textId="77777777" w:rsidTr="000E3A47">
        <w:trPr>
          <w:trHeight w:val="310"/>
        </w:trPr>
        <w:tc>
          <w:tcPr>
            <w:tcW w:w="2340" w:type="dxa"/>
            <w:tcBorders>
              <w:top w:val="single" w:sz="4" w:space="0" w:color="auto"/>
              <w:left w:val="single" w:sz="4" w:space="0" w:color="auto"/>
              <w:bottom w:val="nil"/>
              <w:right w:val="nil"/>
            </w:tcBorders>
            <w:shd w:val="clear" w:color="auto" w:fill="F2F2F2" w:themeFill="background1" w:themeFillShade="F2"/>
            <w:noWrap/>
            <w:vAlign w:val="bottom"/>
            <w:hideMark/>
          </w:tcPr>
          <w:p w14:paraId="5305F948" w14:textId="77777777" w:rsidR="00722351" w:rsidRPr="00A4778E" w:rsidRDefault="00722351" w:rsidP="00722351">
            <w:pPr>
              <w:rPr>
                <w:b/>
                <w:bCs/>
                <w:sz w:val="20"/>
              </w:rPr>
            </w:pPr>
          </w:p>
        </w:tc>
        <w:tc>
          <w:tcPr>
            <w:tcW w:w="1607" w:type="dxa"/>
            <w:tcBorders>
              <w:top w:val="single" w:sz="4" w:space="0" w:color="auto"/>
              <w:left w:val="nil"/>
              <w:bottom w:val="nil"/>
              <w:right w:val="nil"/>
            </w:tcBorders>
            <w:shd w:val="clear" w:color="auto" w:fill="F2F2F2" w:themeFill="background1" w:themeFillShade="F2"/>
            <w:noWrap/>
            <w:vAlign w:val="bottom"/>
            <w:hideMark/>
          </w:tcPr>
          <w:p w14:paraId="27392AFB" w14:textId="77777777" w:rsidR="00722351" w:rsidRPr="00A4778E" w:rsidRDefault="00722351" w:rsidP="00722351">
            <w:pPr>
              <w:jc w:val="center"/>
              <w:rPr>
                <w:b/>
                <w:bCs/>
                <w:sz w:val="20"/>
              </w:rPr>
            </w:pPr>
            <w:r w:rsidRPr="00A4778E">
              <w:rPr>
                <w:b/>
                <w:bCs/>
                <w:sz w:val="20"/>
              </w:rPr>
              <w:t>(a)</w:t>
            </w:r>
          </w:p>
        </w:tc>
        <w:tc>
          <w:tcPr>
            <w:tcW w:w="222" w:type="dxa"/>
            <w:tcBorders>
              <w:top w:val="single" w:sz="4" w:space="0" w:color="auto"/>
              <w:left w:val="nil"/>
              <w:bottom w:val="nil"/>
              <w:right w:val="nil"/>
            </w:tcBorders>
            <w:shd w:val="clear" w:color="auto" w:fill="F2F2F2" w:themeFill="background1" w:themeFillShade="F2"/>
            <w:noWrap/>
            <w:vAlign w:val="bottom"/>
            <w:hideMark/>
          </w:tcPr>
          <w:p w14:paraId="5732A145" w14:textId="77777777" w:rsidR="00722351" w:rsidRPr="00A4778E" w:rsidRDefault="00722351" w:rsidP="00722351">
            <w:pPr>
              <w:jc w:val="center"/>
              <w:rPr>
                <w:b/>
                <w:bCs/>
                <w:sz w:val="20"/>
              </w:rPr>
            </w:pPr>
          </w:p>
        </w:tc>
        <w:tc>
          <w:tcPr>
            <w:tcW w:w="1295" w:type="dxa"/>
            <w:tcBorders>
              <w:top w:val="single" w:sz="4" w:space="0" w:color="auto"/>
              <w:left w:val="nil"/>
              <w:bottom w:val="nil"/>
              <w:right w:val="nil"/>
            </w:tcBorders>
            <w:shd w:val="clear" w:color="auto" w:fill="F2F2F2" w:themeFill="background1" w:themeFillShade="F2"/>
            <w:noWrap/>
            <w:vAlign w:val="bottom"/>
            <w:hideMark/>
          </w:tcPr>
          <w:p w14:paraId="4C61B5D9" w14:textId="77777777" w:rsidR="00722351" w:rsidRPr="00A4778E" w:rsidRDefault="00722351" w:rsidP="00722351">
            <w:pPr>
              <w:jc w:val="center"/>
              <w:rPr>
                <w:b/>
                <w:bCs/>
                <w:sz w:val="20"/>
              </w:rPr>
            </w:pPr>
            <w:r w:rsidRPr="00A4778E">
              <w:rPr>
                <w:b/>
                <w:bCs/>
                <w:sz w:val="20"/>
              </w:rPr>
              <w:t>(b)</w:t>
            </w:r>
          </w:p>
        </w:tc>
        <w:tc>
          <w:tcPr>
            <w:tcW w:w="222" w:type="dxa"/>
            <w:tcBorders>
              <w:top w:val="single" w:sz="4" w:space="0" w:color="auto"/>
              <w:left w:val="nil"/>
              <w:bottom w:val="nil"/>
              <w:right w:val="nil"/>
            </w:tcBorders>
            <w:shd w:val="clear" w:color="auto" w:fill="F2F2F2" w:themeFill="background1" w:themeFillShade="F2"/>
            <w:noWrap/>
            <w:vAlign w:val="bottom"/>
            <w:hideMark/>
          </w:tcPr>
          <w:p w14:paraId="5B8A213E" w14:textId="77777777" w:rsidR="00722351" w:rsidRPr="00A4778E" w:rsidRDefault="00722351" w:rsidP="00722351">
            <w:pPr>
              <w:jc w:val="center"/>
              <w:rPr>
                <w:b/>
                <w:bCs/>
                <w:sz w:val="20"/>
              </w:rPr>
            </w:pPr>
          </w:p>
        </w:tc>
        <w:tc>
          <w:tcPr>
            <w:tcW w:w="1160" w:type="dxa"/>
            <w:tcBorders>
              <w:top w:val="single" w:sz="4" w:space="0" w:color="auto"/>
              <w:left w:val="nil"/>
              <w:bottom w:val="nil"/>
              <w:right w:val="nil"/>
            </w:tcBorders>
            <w:shd w:val="clear" w:color="auto" w:fill="F2F2F2" w:themeFill="background1" w:themeFillShade="F2"/>
            <w:noWrap/>
            <w:vAlign w:val="bottom"/>
            <w:hideMark/>
          </w:tcPr>
          <w:p w14:paraId="5D2A3870" w14:textId="77777777" w:rsidR="00722351" w:rsidRPr="00A4778E" w:rsidRDefault="00722351" w:rsidP="00722351">
            <w:pPr>
              <w:jc w:val="center"/>
              <w:rPr>
                <w:b/>
                <w:bCs/>
                <w:sz w:val="20"/>
              </w:rPr>
            </w:pPr>
            <w:r w:rsidRPr="00A4778E">
              <w:rPr>
                <w:b/>
                <w:bCs/>
                <w:sz w:val="20"/>
              </w:rPr>
              <w:t>(c)</w:t>
            </w:r>
          </w:p>
        </w:tc>
        <w:tc>
          <w:tcPr>
            <w:tcW w:w="222" w:type="dxa"/>
            <w:tcBorders>
              <w:top w:val="single" w:sz="4" w:space="0" w:color="auto"/>
              <w:left w:val="nil"/>
              <w:bottom w:val="nil"/>
              <w:right w:val="nil"/>
            </w:tcBorders>
            <w:shd w:val="clear" w:color="auto" w:fill="F2F2F2" w:themeFill="background1" w:themeFillShade="F2"/>
            <w:noWrap/>
            <w:vAlign w:val="bottom"/>
            <w:hideMark/>
          </w:tcPr>
          <w:p w14:paraId="37C416A0" w14:textId="77777777" w:rsidR="00722351" w:rsidRPr="00A4778E" w:rsidRDefault="00722351" w:rsidP="00722351">
            <w:pPr>
              <w:jc w:val="center"/>
              <w:rPr>
                <w:b/>
                <w:bCs/>
                <w:sz w:val="20"/>
              </w:rPr>
            </w:pPr>
          </w:p>
        </w:tc>
        <w:tc>
          <w:tcPr>
            <w:tcW w:w="1567" w:type="dxa"/>
            <w:tcBorders>
              <w:top w:val="single" w:sz="4" w:space="0" w:color="auto"/>
              <w:left w:val="nil"/>
              <w:bottom w:val="nil"/>
              <w:right w:val="single" w:sz="4" w:space="0" w:color="auto"/>
            </w:tcBorders>
            <w:shd w:val="clear" w:color="auto" w:fill="F2F2F2" w:themeFill="background1" w:themeFillShade="F2"/>
            <w:noWrap/>
            <w:vAlign w:val="bottom"/>
            <w:hideMark/>
          </w:tcPr>
          <w:p w14:paraId="78A4CE37" w14:textId="77777777" w:rsidR="00722351" w:rsidRPr="00A4778E" w:rsidRDefault="00722351" w:rsidP="00722351">
            <w:pPr>
              <w:jc w:val="center"/>
              <w:rPr>
                <w:b/>
                <w:bCs/>
                <w:sz w:val="20"/>
              </w:rPr>
            </w:pPr>
            <w:r w:rsidRPr="00A4778E">
              <w:rPr>
                <w:b/>
                <w:bCs/>
                <w:sz w:val="20"/>
              </w:rPr>
              <w:t>(d)</w:t>
            </w:r>
          </w:p>
        </w:tc>
      </w:tr>
      <w:tr w:rsidR="00722351" w:rsidRPr="00A4778E" w14:paraId="27977E7D" w14:textId="77777777" w:rsidTr="000E3A47">
        <w:trPr>
          <w:trHeight w:val="375"/>
        </w:trPr>
        <w:tc>
          <w:tcPr>
            <w:tcW w:w="2340" w:type="dxa"/>
            <w:tcBorders>
              <w:top w:val="nil"/>
              <w:left w:val="single" w:sz="4" w:space="0" w:color="auto"/>
              <w:bottom w:val="nil"/>
              <w:right w:val="nil"/>
            </w:tcBorders>
            <w:shd w:val="clear" w:color="auto" w:fill="F2F2F2" w:themeFill="background1" w:themeFillShade="F2"/>
            <w:noWrap/>
            <w:vAlign w:val="bottom"/>
            <w:hideMark/>
          </w:tcPr>
          <w:p w14:paraId="2EC91447" w14:textId="77777777" w:rsidR="00722351" w:rsidRPr="00A4778E" w:rsidRDefault="00722351" w:rsidP="00722351">
            <w:pPr>
              <w:jc w:val="center"/>
              <w:rPr>
                <w:b/>
                <w:bCs/>
                <w:sz w:val="20"/>
              </w:rPr>
            </w:pPr>
          </w:p>
        </w:tc>
        <w:tc>
          <w:tcPr>
            <w:tcW w:w="1607" w:type="dxa"/>
            <w:tcBorders>
              <w:top w:val="nil"/>
              <w:left w:val="nil"/>
              <w:bottom w:val="nil"/>
              <w:right w:val="nil"/>
            </w:tcBorders>
            <w:shd w:val="clear" w:color="auto" w:fill="F2F2F2" w:themeFill="background1" w:themeFillShade="F2"/>
            <w:noWrap/>
            <w:vAlign w:val="bottom"/>
            <w:hideMark/>
          </w:tcPr>
          <w:p w14:paraId="731BA349" w14:textId="77777777" w:rsidR="00722351" w:rsidRPr="00A4778E" w:rsidRDefault="00722351" w:rsidP="00722351">
            <w:pPr>
              <w:rPr>
                <w:b/>
                <w:bCs/>
                <w:sz w:val="20"/>
              </w:rPr>
            </w:pPr>
          </w:p>
        </w:tc>
        <w:tc>
          <w:tcPr>
            <w:tcW w:w="222" w:type="dxa"/>
            <w:tcBorders>
              <w:top w:val="nil"/>
              <w:left w:val="nil"/>
              <w:bottom w:val="nil"/>
              <w:right w:val="nil"/>
            </w:tcBorders>
            <w:shd w:val="clear" w:color="auto" w:fill="F2F2F2" w:themeFill="background1" w:themeFillShade="F2"/>
            <w:noWrap/>
            <w:vAlign w:val="bottom"/>
            <w:hideMark/>
          </w:tcPr>
          <w:p w14:paraId="065409E7" w14:textId="77777777" w:rsidR="00722351" w:rsidRPr="00A4778E" w:rsidRDefault="00722351" w:rsidP="00722351">
            <w:pPr>
              <w:rPr>
                <w:b/>
                <w:bCs/>
                <w:sz w:val="20"/>
              </w:rPr>
            </w:pPr>
          </w:p>
        </w:tc>
        <w:tc>
          <w:tcPr>
            <w:tcW w:w="1295" w:type="dxa"/>
            <w:tcBorders>
              <w:top w:val="nil"/>
              <w:left w:val="nil"/>
              <w:bottom w:val="nil"/>
              <w:right w:val="nil"/>
            </w:tcBorders>
            <w:shd w:val="clear" w:color="auto" w:fill="F2F2F2" w:themeFill="background1" w:themeFillShade="F2"/>
            <w:noWrap/>
            <w:vAlign w:val="bottom"/>
            <w:hideMark/>
          </w:tcPr>
          <w:p w14:paraId="610CA96C" w14:textId="77777777" w:rsidR="00722351" w:rsidRPr="00A4778E" w:rsidRDefault="00722351" w:rsidP="00722351">
            <w:pPr>
              <w:jc w:val="center"/>
              <w:rPr>
                <w:b/>
                <w:bCs/>
                <w:sz w:val="20"/>
              </w:rPr>
            </w:pPr>
            <w:r w:rsidRPr="00A4778E">
              <w:rPr>
                <w:b/>
                <w:bCs/>
                <w:sz w:val="20"/>
              </w:rPr>
              <w:t>Percentage</w:t>
            </w:r>
          </w:p>
        </w:tc>
        <w:tc>
          <w:tcPr>
            <w:tcW w:w="222" w:type="dxa"/>
            <w:tcBorders>
              <w:top w:val="nil"/>
              <w:left w:val="nil"/>
              <w:bottom w:val="nil"/>
              <w:right w:val="nil"/>
            </w:tcBorders>
            <w:shd w:val="clear" w:color="auto" w:fill="F2F2F2" w:themeFill="background1" w:themeFillShade="F2"/>
            <w:noWrap/>
            <w:vAlign w:val="bottom"/>
            <w:hideMark/>
          </w:tcPr>
          <w:p w14:paraId="3DCC9184" w14:textId="77777777" w:rsidR="00722351" w:rsidRPr="00A4778E" w:rsidRDefault="00722351" w:rsidP="00722351">
            <w:pPr>
              <w:jc w:val="center"/>
              <w:rPr>
                <w:b/>
                <w:bCs/>
                <w:sz w:val="20"/>
              </w:rPr>
            </w:pPr>
          </w:p>
        </w:tc>
        <w:tc>
          <w:tcPr>
            <w:tcW w:w="1160" w:type="dxa"/>
            <w:tcBorders>
              <w:top w:val="nil"/>
              <w:left w:val="nil"/>
              <w:bottom w:val="nil"/>
              <w:right w:val="nil"/>
            </w:tcBorders>
            <w:shd w:val="clear" w:color="auto" w:fill="F2F2F2" w:themeFill="background1" w:themeFillShade="F2"/>
            <w:noWrap/>
            <w:vAlign w:val="bottom"/>
            <w:hideMark/>
          </w:tcPr>
          <w:p w14:paraId="6BF74367" w14:textId="77777777" w:rsidR="00722351" w:rsidRPr="00A4778E" w:rsidRDefault="00722351" w:rsidP="00722351">
            <w:pPr>
              <w:rPr>
                <w:b/>
                <w:bCs/>
                <w:sz w:val="20"/>
              </w:rPr>
            </w:pPr>
          </w:p>
        </w:tc>
        <w:tc>
          <w:tcPr>
            <w:tcW w:w="222" w:type="dxa"/>
            <w:tcBorders>
              <w:top w:val="nil"/>
              <w:left w:val="nil"/>
              <w:bottom w:val="nil"/>
              <w:right w:val="nil"/>
            </w:tcBorders>
            <w:shd w:val="clear" w:color="auto" w:fill="F2F2F2" w:themeFill="background1" w:themeFillShade="F2"/>
            <w:noWrap/>
            <w:vAlign w:val="bottom"/>
            <w:hideMark/>
          </w:tcPr>
          <w:p w14:paraId="07E1A714" w14:textId="77777777" w:rsidR="00722351" w:rsidRPr="00A4778E" w:rsidRDefault="00722351" w:rsidP="00722351">
            <w:pPr>
              <w:jc w:val="center"/>
              <w:rPr>
                <w:b/>
                <w:bCs/>
                <w:sz w:val="20"/>
              </w:rPr>
            </w:pPr>
          </w:p>
        </w:tc>
        <w:tc>
          <w:tcPr>
            <w:tcW w:w="1567" w:type="dxa"/>
            <w:tcBorders>
              <w:top w:val="nil"/>
              <w:left w:val="nil"/>
              <w:bottom w:val="nil"/>
              <w:right w:val="single" w:sz="4" w:space="0" w:color="auto"/>
            </w:tcBorders>
            <w:shd w:val="clear" w:color="auto" w:fill="F2F2F2" w:themeFill="background1" w:themeFillShade="F2"/>
            <w:noWrap/>
            <w:vAlign w:val="bottom"/>
            <w:hideMark/>
          </w:tcPr>
          <w:p w14:paraId="76D36A07" w14:textId="77777777" w:rsidR="00722351" w:rsidRPr="00A4778E" w:rsidRDefault="00722351" w:rsidP="00722351">
            <w:pPr>
              <w:jc w:val="center"/>
              <w:rPr>
                <w:b/>
                <w:bCs/>
                <w:sz w:val="20"/>
              </w:rPr>
            </w:pPr>
            <w:r w:rsidRPr="00A4778E">
              <w:rPr>
                <w:b/>
                <w:bCs/>
                <w:sz w:val="20"/>
              </w:rPr>
              <w:t>Weighted</w:t>
            </w:r>
          </w:p>
        </w:tc>
      </w:tr>
      <w:tr w:rsidR="00722351" w:rsidRPr="00A4778E" w14:paraId="7D34B8E1" w14:textId="77777777" w:rsidTr="000E3A47">
        <w:trPr>
          <w:trHeight w:val="310"/>
        </w:trPr>
        <w:tc>
          <w:tcPr>
            <w:tcW w:w="2340" w:type="dxa"/>
            <w:tcBorders>
              <w:top w:val="nil"/>
              <w:left w:val="single" w:sz="4" w:space="0" w:color="auto"/>
              <w:bottom w:val="nil"/>
              <w:right w:val="nil"/>
            </w:tcBorders>
            <w:shd w:val="clear" w:color="auto" w:fill="F2F2F2" w:themeFill="background1" w:themeFillShade="F2"/>
            <w:noWrap/>
            <w:vAlign w:val="bottom"/>
            <w:hideMark/>
          </w:tcPr>
          <w:p w14:paraId="79DC4345" w14:textId="77777777" w:rsidR="00722351" w:rsidRPr="00A4778E" w:rsidRDefault="00722351" w:rsidP="00722351">
            <w:pPr>
              <w:jc w:val="center"/>
              <w:rPr>
                <w:b/>
                <w:bCs/>
                <w:sz w:val="20"/>
              </w:rPr>
            </w:pPr>
          </w:p>
        </w:tc>
        <w:tc>
          <w:tcPr>
            <w:tcW w:w="1607" w:type="dxa"/>
            <w:tcBorders>
              <w:top w:val="nil"/>
              <w:left w:val="nil"/>
              <w:bottom w:val="single" w:sz="4" w:space="0" w:color="auto"/>
              <w:right w:val="nil"/>
            </w:tcBorders>
            <w:shd w:val="clear" w:color="auto" w:fill="F2F2F2" w:themeFill="background1" w:themeFillShade="F2"/>
            <w:noWrap/>
            <w:vAlign w:val="bottom"/>
            <w:hideMark/>
          </w:tcPr>
          <w:p w14:paraId="120DA14F" w14:textId="77777777" w:rsidR="00722351" w:rsidRPr="00A4778E" w:rsidRDefault="00722351" w:rsidP="00722351">
            <w:pPr>
              <w:jc w:val="center"/>
              <w:rPr>
                <w:b/>
                <w:bCs/>
                <w:sz w:val="20"/>
              </w:rPr>
            </w:pPr>
            <w:r w:rsidRPr="00A4778E">
              <w:rPr>
                <w:b/>
                <w:bCs/>
                <w:sz w:val="20"/>
              </w:rPr>
              <w:t>Balance</w:t>
            </w:r>
          </w:p>
        </w:tc>
        <w:tc>
          <w:tcPr>
            <w:tcW w:w="222" w:type="dxa"/>
            <w:tcBorders>
              <w:top w:val="nil"/>
              <w:left w:val="nil"/>
              <w:bottom w:val="nil"/>
              <w:right w:val="nil"/>
            </w:tcBorders>
            <w:shd w:val="clear" w:color="auto" w:fill="F2F2F2" w:themeFill="background1" w:themeFillShade="F2"/>
            <w:noWrap/>
            <w:vAlign w:val="bottom"/>
            <w:hideMark/>
          </w:tcPr>
          <w:p w14:paraId="2FF21543" w14:textId="77777777" w:rsidR="00722351" w:rsidRPr="00A4778E" w:rsidRDefault="00722351" w:rsidP="00722351">
            <w:pPr>
              <w:jc w:val="center"/>
              <w:rPr>
                <w:b/>
                <w:bCs/>
                <w:sz w:val="20"/>
              </w:rPr>
            </w:pPr>
          </w:p>
        </w:tc>
        <w:tc>
          <w:tcPr>
            <w:tcW w:w="1295" w:type="dxa"/>
            <w:tcBorders>
              <w:top w:val="nil"/>
              <w:left w:val="nil"/>
              <w:bottom w:val="single" w:sz="4" w:space="0" w:color="000000" w:themeColor="text1"/>
              <w:right w:val="nil"/>
            </w:tcBorders>
            <w:shd w:val="clear" w:color="auto" w:fill="F2F2F2" w:themeFill="background1" w:themeFillShade="F2"/>
            <w:noWrap/>
            <w:vAlign w:val="bottom"/>
            <w:hideMark/>
          </w:tcPr>
          <w:p w14:paraId="752682B4" w14:textId="77777777" w:rsidR="00722351" w:rsidRPr="00A4778E" w:rsidRDefault="00722351" w:rsidP="00722351">
            <w:pPr>
              <w:jc w:val="center"/>
              <w:rPr>
                <w:b/>
                <w:bCs/>
                <w:sz w:val="20"/>
              </w:rPr>
            </w:pPr>
            <w:r w:rsidRPr="00A4778E">
              <w:rPr>
                <w:b/>
                <w:bCs/>
                <w:sz w:val="20"/>
              </w:rPr>
              <w:t>of Total</w:t>
            </w:r>
          </w:p>
        </w:tc>
        <w:tc>
          <w:tcPr>
            <w:tcW w:w="222" w:type="dxa"/>
            <w:tcBorders>
              <w:top w:val="nil"/>
              <w:left w:val="nil"/>
              <w:bottom w:val="nil"/>
              <w:right w:val="nil"/>
            </w:tcBorders>
            <w:shd w:val="clear" w:color="auto" w:fill="F2F2F2" w:themeFill="background1" w:themeFillShade="F2"/>
            <w:noWrap/>
            <w:vAlign w:val="bottom"/>
            <w:hideMark/>
          </w:tcPr>
          <w:p w14:paraId="61712BA6" w14:textId="77777777" w:rsidR="00722351" w:rsidRPr="00A4778E" w:rsidRDefault="00722351" w:rsidP="00722351">
            <w:pPr>
              <w:jc w:val="center"/>
              <w:rPr>
                <w:b/>
                <w:bCs/>
                <w:sz w:val="20"/>
              </w:rPr>
            </w:pPr>
          </w:p>
        </w:tc>
        <w:tc>
          <w:tcPr>
            <w:tcW w:w="1160" w:type="dxa"/>
            <w:tcBorders>
              <w:top w:val="nil"/>
              <w:left w:val="nil"/>
              <w:bottom w:val="single" w:sz="4" w:space="0" w:color="000000" w:themeColor="text1"/>
              <w:right w:val="nil"/>
            </w:tcBorders>
            <w:shd w:val="clear" w:color="auto" w:fill="F2F2F2" w:themeFill="background1" w:themeFillShade="F2"/>
            <w:noWrap/>
            <w:vAlign w:val="bottom"/>
            <w:hideMark/>
          </w:tcPr>
          <w:p w14:paraId="4DA46DAC" w14:textId="77777777" w:rsidR="00722351" w:rsidRPr="00A4778E" w:rsidRDefault="00722351" w:rsidP="00722351">
            <w:pPr>
              <w:jc w:val="center"/>
              <w:rPr>
                <w:b/>
                <w:bCs/>
                <w:sz w:val="20"/>
              </w:rPr>
            </w:pPr>
            <w:r w:rsidRPr="00A4778E">
              <w:rPr>
                <w:b/>
                <w:bCs/>
                <w:sz w:val="20"/>
              </w:rPr>
              <w:t>Cost</w:t>
            </w:r>
          </w:p>
        </w:tc>
        <w:tc>
          <w:tcPr>
            <w:tcW w:w="222" w:type="dxa"/>
            <w:tcBorders>
              <w:top w:val="nil"/>
              <w:left w:val="nil"/>
              <w:bottom w:val="nil"/>
              <w:right w:val="nil"/>
            </w:tcBorders>
            <w:shd w:val="clear" w:color="auto" w:fill="F2F2F2" w:themeFill="background1" w:themeFillShade="F2"/>
            <w:noWrap/>
            <w:vAlign w:val="bottom"/>
            <w:hideMark/>
          </w:tcPr>
          <w:p w14:paraId="38104EAE" w14:textId="77777777" w:rsidR="00722351" w:rsidRPr="00A4778E" w:rsidRDefault="00722351" w:rsidP="00722351">
            <w:pPr>
              <w:jc w:val="center"/>
              <w:rPr>
                <w:b/>
                <w:bCs/>
                <w:sz w:val="20"/>
              </w:rPr>
            </w:pPr>
          </w:p>
        </w:tc>
        <w:tc>
          <w:tcPr>
            <w:tcW w:w="1567" w:type="dxa"/>
            <w:tcBorders>
              <w:top w:val="nil"/>
              <w:left w:val="nil"/>
              <w:bottom w:val="single" w:sz="4" w:space="0" w:color="000000" w:themeColor="text1"/>
              <w:right w:val="single" w:sz="4" w:space="0" w:color="auto"/>
            </w:tcBorders>
            <w:shd w:val="clear" w:color="auto" w:fill="F2F2F2" w:themeFill="background1" w:themeFillShade="F2"/>
            <w:noWrap/>
            <w:vAlign w:val="bottom"/>
            <w:hideMark/>
          </w:tcPr>
          <w:p w14:paraId="64A731F7" w14:textId="77777777" w:rsidR="00722351" w:rsidRPr="00A4778E" w:rsidRDefault="00722351" w:rsidP="00722351">
            <w:pPr>
              <w:jc w:val="center"/>
              <w:rPr>
                <w:b/>
                <w:bCs/>
                <w:sz w:val="20"/>
              </w:rPr>
            </w:pPr>
            <w:r w:rsidRPr="00A4778E">
              <w:rPr>
                <w:b/>
                <w:bCs/>
                <w:sz w:val="20"/>
              </w:rPr>
              <w:t>Cost</w:t>
            </w:r>
          </w:p>
        </w:tc>
      </w:tr>
      <w:tr w:rsidR="00722351" w:rsidRPr="00A4778E" w14:paraId="5ECBE355" w14:textId="77777777" w:rsidTr="000E3A47">
        <w:trPr>
          <w:trHeight w:val="310"/>
        </w:trPr>
        <w:tc>
          <w:tcPr>
            <w:tcW w:w="2340" w:type="dxa"/>
            <w:tcBorders>
              <w:top w:val="nil"/>
              <w:left w:val="single" w:sz="4" w:space="0" w:color="auto"/>
              <w:bottom w:val="nil"/>
              <w:right w:val="nil"/>
            </w:tcBorders>
            <w:shd w:val="clear" w:color="auto" w:fill="auto"/>
            <w:noWrap/>
            <w:vAlign w:val="bottom"/>
            <w:hideMark/>
          </w:tcPr>
          <w:p w14:paraId="3686411B" w14:textId="3E229B02" w:rsidR="00722351" w:rsidRPr="00A4778E" w:rsidRDefault="00722351" w:rsidP="00722351">
            <w:pPr>
              <w:rPr>
                <w:sz w:val="20"/>
              </w:rPr>
            </w:pPr>
            <w:r w:rsidRPr="00A4778E">
              <w:rPr>
                <w:sz w:val="20"/>
              </w:rPr>
              <w:t>Common Equity</w:t>
            </w:r>
          </w:p>
        </w:tc>
        <w:tc>
          <w:tcPr>
            <w:tcW w:w="1607" w:type="dxa"/>
            <w:tcBorders>
              <w:top w:val="nil"/>
              <w:left w:val="nil"/>
              <w:bottom w:val="nil"/>
              <w:right w:val="nil"/>
            </w:tcBorders>
            <w:shd w:val="clear" w:color="auto" w:fill="auto"/>
            <w:noWrap/>
            <w:vAlign w:val="bottom"/>
            <w:hideMark/>
          </w:tcPr>
          <w:p w14:paraId="577C892A" w14:textId="77777777" w:rsidR="00722351" w:rsidRPr="00A4778E" w:rsidRDefault="00722351" w:rsidP="00722351">
            <w:pPr>
              <w:jc w:val="right"/>
              <w:rPr>
                <w:color w:val="000000"/>
                <w:sz w:val="20"/>
              </w:rPr>
            </w:pPr>
            <w:r w:rsidRPr="00A4778E">
              <w:rPr>
                <w:color w:val="000000"/>
                <w:sz w:val="20"/>
              </w:rPr>
              <w:t xml:space="preserve">5,990,929,790 </w:t>
            </w:r>
          </w:p>
        </w:tc>
        <w:tc>
          <w:tcPr>
            <w:tcW w:w="222" w:type="dxa"/>
            <w:tcBorders>
              <w:top w:val="nil"/>
              <w:left w:val="nil"/>
              <w:bottom w:val="nil"/>
              <w:right w:val="nil"/>
            </w:tcBorders>
            <w:shd w:val="clear" w:color="auto" w:fill="auto"/>
            <w:noWrap/>
            <w:vAlign w:val="bottom"/>
            <w:hideMark/>
          </w:tcPr>
          <w:p w14:paraId="5FA700B9" w14:textId="77777777" w:rsidR="00722351" w:rsidRPr="00A4778E" w:rsidRDefault="00722351" w:rsidP="00722351">
            <w:pPr>
              <w:jc w:val="right"/>
              <w:rPr>
                <w:color w:val="000000"/>
                <w:sz w:val="20"/>
              </w:rPr>
            </w:pPr>
          </w:p>
        </w:tc>
        <w:tc>
          <w:tcPr>
            <w:tcW w:w="1295" w:type="dxa"/>
            <w:tcBorders>
              <w:top w:val="nil"/>
              <w:left w:val="nil"/>
              <w:bottom w:val="nil"/>
              <w:right w:val="nil"/>
            </w:tcBorders>
            <w:shd w:val="clear" w:color="auto" w:fill="auto"/>
            <w:noWrap/>
            <w:vAlign w:val="bottom"/>
            <w:hideMark/>
          </w:tcPr>
          <w:p w14:paraId="24D3ABB3" w14:textId="77777777" w:rsidR="00722351" w:rsidRPr="00A4778E" w:rsidRDefault="00722351" w:rsidP="00722351">
            <w:pPr>
              <w:jc w:val="center"/>
              <w:rPr>
                <w:sz w:val="20"/>
              </w:rPr>
            </w:pPr>
            <w:r w:rsidRPr="00A4778E">
              <w:rPr>
                <w:sz w:val="20"/>
              </w:rPr>
              <w:t>44.90%</w:t>
            </w:r>
          </w:p>
        </w:tc>
        <w:tc>
          <w:tcPr>
            <w:tcW w:w="222" w:type="dxa"/>
            <w:tcBorders>
              <w:top w:val="nil"/>
              <w:left w:val="nil"/>
              <w:bottom w:val="nil"/>
              <w:right w:val="nil"/>
            </w:tcBorders>
            <w:shd w:val="clear" w:color="auto" w:fill="auto"/>
            <w:noWrap/>
            <w:vAlign w:val="bottom"/>
            <w:hideMark/>
          </w:tcPr>
          <w:p w14:paraId="676EBA7B" w14:textId="77777777" w:rsidR="00722351" w:rsidRPr="00A4778E" w:rsidRDefault="00722351" w:rsidP="00722351">
            <w:pPr>
              <w:jc w:val="center"/>
              <w:rPr>
                <w:sz w:val="20"/>
              </w:rPr>
            </w:pPr>
          </w:p>
        </w:tc>
        <w:tc>
          <w:tcPr>
            <w:tcW w:w="1160" w:type="dxa"/>
            <w:tcBorders>
              <w:top w:val="nil"/>
              <w:left w:val="nil"/>
              <w:bottom w:val="nil"/>
              <w:right w:val="nil"/>
            </w:tcBorders>
            <w:shd w:val="clear" w:color="auto" w:fill="auto"/>
            <w:noWrap/>
            <w:vAlign w:val="bottom"/>
            <w:hideMark/>
          </w:tcPr>
          <w:p w14:paraId="1DF4F354" w14:textId="624E3461" w:rsidR="00722351" w:rsidRPr="00A4778E" w:rsidRDefault="00722351" w:rsidP="00722351">
            <w:pPr>
              <w:jc w:val="center"/>
              <w:rPr>
                <w:b/>
                <w:bCs/>
                <w:sz w:val="20"/>
              </w:rPr>
            </w:pPr>
            <w:r w:rsidRPr="00A4778E">
              <w:rPr>
                <w:b/>
                <w:bCs/>
                <w:sz w:val="20"/>
              </w:rPr>
              <w:t>10.</w:t>
            </w:r>
            <w:r w:rsidR="001A4801">
              <w:rPr>
                <w:b/>
                <w:bCs/>
                <w:sz w:val="20"/>
              </w:rPr>
              <w:t>40</w:t>
            </w:r>
            <w:r w:rsidRPr="00A4778E">
              <w:rPr>
                <w:b/>
                <w:bCs/>
                <w:sz w:val="20"/>
              </w:rPr>
              <w:t>%</w:t>
            </w:r>
          </w:p>
        </w:tc>
        <w:tc>
          <w:tcPr>
            <w:tcW w:w="222" w:type="dxa"/>
            <w:tcBorders>
              <w:top w:val="nil"/>
              <w:left w:val="nil"/>
              <w:bottom w:val="nil"/>
              <w:right w:val="nil"/>
            </w:tcBorders>
            <w:shd w:val="clear" w:color="auto" w:fill="auto"/>
            <w:noWrap/>
            <w:vAlign w:val="bottom"/>
            <w:hideMark/>
          </w:tcPr>
          <w:p w14:paraId="59278D8B" w14:textId="77777777" w:rsidR="00722351" w:rsidRPr="00A4778E" w:rsidRDefault="00722351" w:rsidP="00722351">
            <w:pPr>
              <w:jc w:val="center"/>
              <w:rPr>
                <w:b/>
                <w:bCs/>
                <w:sz w:val="20"/>
              </w:rPr>
            </w:pPr>
          </w:p>
        </w:tc>
        <w:tc>
          <w:tcPr>
            <w:tcW w:w="1567" w:type="dxa"/>
            <w:tcBorders>
              <w:top w:val="nil"/>
              <w:left w:val="nil"/>
              <w:bottom w:val="nil"/>
              <w:right w:val="single" w:sz="4" w:space="0" w:color="auto"/>
            </w:tcBorders>
            <w:shd w:val="clear" w:color="auto" w:fill="auto"/>
            <w:noWrap/>
            <w:vAlign w:val="bottom"/>
            <w:hideMark/>
          </w:tcPr>
          <w:p w14:paraId="5D6DF7E5" w14:textId="30201018" w:rsidR="00722351" w:rsidRPr="00A4778E" w:rsidRDefault="00722351" w:rsidP="00722351">
            <w:pPr>
              <w:jc w:val="right"/>
              <w:rPr>
                <w:sz w:val="20"/>
              </w:rPr>
            </w:pPr>
            <w:r w:rsidRPr="00A4778E">
              <w:rPr>
                <w:sz w:val="20"/>
              </w:rPr>
              <w:t>4.6</w:t>
            </w:r>
            <w:r w:rsidR="001A4801">
              <w:rPr>
                <w:sz w:val="20"/>
              </w:rPr>
              <w:t>7</w:t>
            </w:r>
            <w:r w:rsidRPr="00A4778E">
              <w:rPr>
                <w:sz w:val="20"/>
              </w:rPr>
              <w:t>%</w:t>
            </w:r>
          </w:p>
        </w:tc>
      </w:tr>
      <w:tr w:rsidR="00722351" w:rsidRPr="00A4778E" w14:paraId="34527CD6" w14:textId="77777777" w:rsidTr="000E3A47">
        <w:trPr>
          <w:trHeight w:val="310"/>
        </w:trPr>
        <w:tc>
          <w:tcPr>
            <w:tcW w:w="2340" w:type="dxa"/>
            <w:tcBorders>
              <w:top w:val="nil"/>
              <w:left w:val="single" w:sz="4" w:space="0" w:color="auto"/>
              <w:bottom w:val="nil"/>
              <w:right w:val="nil"/>
            </w:tcBorders>
            <w:shd w:val="clear" w:color="auto" w:fill="auto"/>
            <w:noWrap/>
            <w:vAlign w:val="bottom"/>
            <w:hideMark/>
          </w:tcPr>
          <w:p w14:paraId="4EDD173C" w14:textId="77777777" w:rsidR="00722351" w:rsidRPr="00A4778E" w:rsidRDefault="00722351" w:rsidP="00722351">
            <w:pPr>
              <w:rPr>
                <w:sz w:val="20"/>
              </w:rPr>
            </w:pPr>
            <w:r w:rsidRPr="00A4778E">
              <w:rPr>
                <w:sz w:val="20"/>
              </w:rPr>
              <w:t>Long-Term Debt</w:t>
            </w:r>
          </w:p>
        </w:tc>
        <w:tc>
          <w:tcPr>
            <w:tcW w:w="1607" w:type="dxa"/>
            <w:tcBorders>
              <w:top w:val="nil"/>
              <w:left w:val="nil"/>
              <w:bottom w:val="nil"/>
              <w:right w:val="nil"/>
            </w:tcBorders>
            <w:shd w:val="clear" w:color="auto" w:fill="auto"/>
            <w:noWrap/>
            <w:vAlign w:val="bottom"/>
            <w:hideMark/>
          </w:tcPr>
          <w:p w14:paraId="12D12D18" w14:textId="77777777" w:rsidR="00722351" w:rsidRPr="00A4778E" w:rsidRDefault="00722351" w:rsidP="00722351">
            <w:pPr>
              <w:jc w:val="right"/>
              <w:rPr>
                <w:color w:val="000000"/>
                <w:sz w:val="20"/>
              </w:rPr>
            </w:pPr>
            <w:r w:rsidRPr="00A4778E">
              <w:rPr>
                <w:color w:val="000000"/>
                <w:sz w:val="20"/>
              </w:rPr>
              <w:t xml:space="preserve">7,351,041,105 </w:t>
            </w:r>
          </w:p>
        </w:tc>
        <w:tc>
          <w:tcPr>
            <w:tcW w:w="222" w:type="dxa"/>
            <w:tcBorders>
              <w:top w:val="nil"/>
              <w:left w:val="nil"/>
              <w:bottom w:val="nil"/>
              <w:right w:val="nil"/>
            </w:tcBorders>
            <w:shd w:val="clear" w:color="auto" w:fill="auto"/>
            <w:noWrap/>
            <w:vAlign w:val="bottom"/>
            <w:hideMark/>
          </w:tcPr>
          <w:p w14:paraId="7DBBB274" w14:textId="77777777" w:rsidR="00722351" w:rsidRPr="00A4778E" w:rsidRDefault="00722351" w:rsidP="00722351">
            <w:pPr>
              <w:jc w:val="right"/>
              <w:rPr>
                <w:color w:val="000000"/>
                <w:sz w:val="20"/>
              </w:rPr>
            </w:pPr>
          </w:p>
        </w:tc>
        <w:tc>
          <w:tcPr>
            <w:tcW w:w="1295" w:type="dxa"/>
            <w:tcBorders>
              <w:top w:val="nil"/>
              <w:left w:val="nil"/>
              <w:bottom w:val="nil"/>
              <w:right w:val="nil"/>
            </w:tcBorders>
            <w:shd w:val="clear" w:color="auto" w:fill="auto"/>
            <w:noWrap/>
            <w:vAlign w:val="bottom"/>
            <w:hideMark/>
          </w:tcPr>
          <w:p w14:paraId="24BA09F2" w14:textId="77777777" w:rsidR="00722351" w:rsidRPr="00A4778E" w:rsidRDefault="00722351" w:rsidP="00722351">
            <w:pPr>
              <w:jc w:val="center"/>
              <w:rPr>
                <w:sz w:val="20"/>
              </w:rPr>
            </w:pPr>
            <w:r w:rsidRPr="00A4778E">
              <w:rPr>
                <w:sz w:val="20"/>
              </w:rPr>
              <w:t>55.10%</w:t>
            </w:r>
          </w:p>
        </w:tc>
        <w:tc>
          <w:tcPr>
            <w:tcW w:w="222" w:type="dxa"/>
            <w:tcBorders>
              <w:top w:val="nil"/>
              <w:left w:val="nil"/>
              <w:bottom w:val="nil"/>
              <w:right w:val="nil"/>
            </w:tcBorders>
            <w:shd w:val="clear" w:color="auto" w:fill="auto"/>
            <w:noWrap/>
            <w:vAlign w:val="bottom"/>
            <w:hideMark/>
          </w:tcPr>
          <w:p w14:paraId="101C61DB" w14:textId="77777777" w:rsidR="00722351" w:rsidRPr="00A4778E" w:rsidRDefault="00722351" w:rsidP="00722351">
            <w:pPr>
              <w:jc w:val="center"/>
              <w:rPr>
                <w:sz w:val="20"/>
              </w:rPr>
            </w:pPr>
          </w:p>
        </w:tc>
        <w:tc>
          <w:tcPr>
            <w:tcW w:w="1160" w:type="dxa"/>
            <w:tcBorders>
              <w:top w:val="nil"/>
              <w:left w:val="nil"/>
              <w:bottom w:val="nil"/>
              <w:right w:val="nil"/>
            </w:tcBorders>
            <w:shd w:val="clear" w:color="auto" w:fill="auto"/>
            <w:noWrap/>
            <w:vAlign w:val="bottom"/>
            <w:hideMark/>
          </w:tcPr>
          <w:p w14:paraId="2BE2D957" w14:textId="77777777" w:rsidR="00722351" w:rsidRPr="00A4778E" w:rsidRDefault="00722351" w:rsidP="00722351">
            <w:pPr>
              <w:jc w:val="center"/>
              <w:rPr>
                <w:b/>
                <w:bCs/>
                <w:sz w:val="20"/>
              </w:rPr>
            </w:pPr>
            <w:r w:rsidRPr="00A4778E">
              <w:rPr>
                <w:b/>
                <w:bCs/>
                <w:sz w:val="20"/>
              </w:rPr>
              <w:t>4.29%</w:t>
            </w:r>
          </w:p>
        </w:tc>
        <w:tc>
          <w:tcPr>
            <w:tcW w:w="222" w:type="dxa"/>
            <w:tcBorders>
              <w:top w:val="nil"/>
              <w:left w:val="nil"/>
              <w:bottom w:val="nil"/>
              <w:right w:val="nil"/>
            </w:tcBorders>
            <w:shd w:val="clear" w:color="auto" w:fill="auto"/>
            <w:noWrap/>
            <w:vAlign w:val="bottom"/>
            <w:hideMark/>
          </w:tcPr>
          <w:p w14:paraId="38B89CB9" w14:textId="77777777" w:rsidR="00722351" w:rsidRPr="00A4778E" w:rsidRDefault="00722351" w:rsidP="00722351">
            <w:pPr>
              <w:jc w:val="center"/>
              <w:rPr>
                <w:b/>
                <w:bCs/>
                <w:sz w:val="20"/>
              </w:rPr>
            </w:pPr>
          </w:p>
        </w:tc>
        <w:tc>
          <w:tcPr>
            <w:tcW w:w="1567" w:type="dxa"/>
            <w:tcBorders>
              <w:top w:val="nil"/>
              <w:left w:val="nil"/>
              <w:bottom w:val="nil"/>
              <w:right w:val="single" w:sz="4" w:space="0" w:color="auto"/>
            </w:tcBorders>
            <w:shd w:val="clear" w:color="auto" w:fill="auto"/>
            <w:noWrap/>
            <w:vAlign w:val="bottom"/>
            <w:hideMark/>
          </w:tcPr>
          <w:p w14:paraId="1D612EF0" w14:textId="77777777" w:rsidR="00722351" w:rsidRPr="00A4778E" w:rsidRDefault="00722351" w:rsidP="00722351">
            <w:pPr>
              <w:jc w:val="right"/>
              <w:rPr>
                <w:sz w:val="20"/>
              </w:rPr>
            </w:pPr>
            <w:r w:rsidRPr="00A4778E">
              <w:rPr>
                <w:sz w:val="20"/>
              </w:rPr>
              <w:t>2.36%</w:t>
            </w:r>
          </w:p>
        </w:tc>
      </w:tr>
      <w:tr w:rsidR="00722351" w:rsidRPr="00A4778E" w14:paraId="5186B19B" w14:textId="77777777" w:rsidTr="000E3A47">
        <w:trPr>
          <w:trHeight w:val="320"/>
        </w:trPr>
        <w:tc>
          <w:tcPr>
            <w:tcW w:w="2340" w:type="dxa"/>
            <w:tcBorders>
              <w:top w:val="nil"/>
              <w:left w:val="single" w:sz="4" w:space="0" w:color="auto"/>
              <w:bottom w:val="single" w:sz="4" w:space="0" w:color="auto"/>
              <w:right w:val="nil"/>
            </w:tcBorders>
            <w:shd w:val="clear" w:color="auto" w:fill="auto"/>
            <w:noWrap/>
            <w:vAlign w:val="bottom"/>
            <w:hideMark/>
          </w:tcPr>
          <w:p w14:paraId="5B8BFACD" w14:textId="77777777" w:rsidR="00722351" w:rsidRPr="00A4778E" w:rsidRDefault="00722351" w:rsidP="00722351">
            <w:pPr>
              <w:rPr>
                <w:sz w:val="20"/>
              </w:rPr>
            </w:pPr>
            <w:r w:rsidRPr="00A4778E">
              <w:rPr>
                <w:sz w:val="20"/>
              </w:rPr>
              <w:t>Total</w:t>
            </w:r>
          </w:p>
        </w:tc>
        <w:tc>
          <w:tcPr>
            <w:tcW w:w="1607" w:type="dxa"/>
            <w:tcBorders>
              <w:top w:val="single" w:sz="4" w:space="0" w:color="000000" w:themeColor="text1"/>
              <w:left w:val="nil"/>
              <w:bottom w:val="single" w:sz="4" w:space="0" w:color="auto"/>
              <w:right w:val="nil"/>
            </w:tcBorders>
            <w:shd w:val="clear" w:color="auto" w:fill="auto"/>
            <w:noWrap/>
            <w:vAlign w:val="bottom"/>
            <w:hideMark/>
          </w:tcPr>
          <w:p w14:paraId="24217B3E" w14:textId="77777777" w:rsidR="00722351" w:rsidRPr="00A4778E" w:rsidRDefault="00722351" w:rsidP="00722351">
            <w:pPr>
              <w:rPr>
                <w:sz w:val="20"/>
              </w:rPr>
            </w:pPr>
            <w:r w:rsidRPr="00A4778E">
              <w:rPr>
                <w:sz w:val="20"/>
              </w:rPr>
              <w:t xml:space="preserve"> 13,341,970,895 </w:t>
            </w:r>
          </w:p>
        </w:tc>
        <w:tc>
          <w:tcPr>
            <w:tcW w:w="222" w:type="dxa"/>
            <w:tcBorders>
              <w:top w:val="nil"/>
              <w:left w:val="nil"/>
              <w:bottom w:val="single" w:sz="4" w:space="0" w:color="auto"/>
              <w:right w:val="nil"/>
            </w:tcBorders>
            <w:shd w:val="clear" w:color="auto" w:fill="auto"/>
            <w:noWrap/>
            <w:vAlign w:val="bottom"/>
            <w:hideMark/>
          </w:tcPr>
          <w:p w14:paraId="3381BB29" w14:textId="77777777" w:rsidR="00722351" w:rsidRPr="00A4778E" w:rsidRDefault="00722351" w:rsidP="00722351">
            <w:pPr>
              <w:rPr>
                <w:sz w:val="20"/>
              </w:rPr>
            </w:pPr>
          </w:p>
        </w:tc>
        <w:tc>
          <w:tcPr>
            <w:tcW w:w="1295" w:type="dxa"/>
            <w:tcBorders>
              <w:top w:val="single" w:sz="4" w:space="0" w:color="000000" w:themeColor="text1"/>
              <w:left w:val="nil"/>
              <w:bottom w:val="single" w:sz="4" w:space="0" w:color="auto"/>
              <w:right w:val="nil"/>
            </w:tcBorders>
            <w:shd w:val="clear" w:color="auto" w:fill="auto"/>
            <w:noWrap/>
            <w:vAlign w:val="bottom"/>
            <w:hideMark/>
          </w:tcPr>
          <w:p w14:paraId="12F5F23B" w14:textId="77777777" w:rsidR="00722351" w:rsidRPr="00A4778E" w:rsidRDefault="00722351" w:rsidP="00722351">
            <w:pPr>
              <w:jc w:val="center"/>
              <w:rPr>
                <w:sz w:val="20"/>
              </w:rPr>
            </w:pPr>
            <w:r w:rsidRPr="00A4778E">
              <w:rPr>
                <w:sz w:val="20"/>
              </w:rPr>
              <w:t>100.00%</w:t>
            </w:r>
          </w:p>
        </w:tc>
        <w:tc>
          <w:tcPr>
            <w:tcW w:w="222" w:type="dxa"/>
            <w:tcBorders>
              <w:top w:val="nil"/>
              <w:left w:val="nil"/>
              <w:bottom w:val="single" w:sz="4" w:space="0" w:color="auto"/>
              <w:right w:val="nil"/>
            </w:tcBorders>
            <w:shd w:val="clear" w:color="auto" w:fill="auto"/>
            <w:noWrap/>
            <w:vAlign w:val="bottom"/>
            <w:hideMark/>
          </w:tcPr>
          <w:p w14:paraId="005A8F37" w14:textId="77777777" w:rsidR="00722351" w:rsidRPr="00A4778E" w:rsidRDefault="00722351" w:rsidP="00722351">
            <w:pPr>
              <w:jc w:val="center"/>
              <w:rPr>
                <w:sz w:val="20"/>
              </w:rPr>
            </w:pPr>
          </w:p>
        </w:tc>
        <w:tc>
          <w:tcPr>
            <w:tcW w:w="1160" w:type="dxa"/>
            <w:tcBorders>
              <w:top w:val="nil"/>
              <w:left w:val="nil"/>
              <w:bottom w:val="single" w:sz="4" w:space="0" w:color="auto"/>
              <w:right w:val="nil"/>
            </w:tcBorders>
            <w:shd w:val="clear" w:color="auto" w:fill="auto"/>
            <w:noWrap/>
            <w:vAlign w:val="bottom"/>
            <w:hideMark/>
          </w:tcPr>
          <w:p w14:paraId="2D34D2ED" w14:textId="77777777" w:rsidR="00722351" w:rsidRPr="00A4778E" w:rsidRDefault="00722351" w:rsidP="00722351">
            <w:pPr>
              <w:rPr>
                <w:sz w:val="20"/>
              </w:rPr>
            </w:pPr>
          </w:p>
        </w:tc>
        <w:tc>
          <w:tcPr>
            <w:tcW w:w="222" w:type="dxa"/>
            <w:tcBorders>
              <w:top w:val="nil"/>
              <w:left w:val="nil"/>
              <w:bottom w:val="single" w:sz="4" w:space="0" w:color="auto"/>
              <w:right w:val="nil"/>
            </w:tcBorders>
            <w:shd w:val="clear" w:color="auto" w:fill="auto"/>
            <w:noWrap/>
            <w:vAlign w:val="bottom"/>
            <w:hideMark/>
          </w:tcPr>
          <w:p w14:paraId="5E8C8C70" w14:textId="77777777" w:rsidR="00722351" w:rsidRPr="00A4778E" w:rsidRDefault="00722351" w:rsidP="00722351">
            <w:pPr>
              <w:jc w:val="center"/>
              <w:rPr>
                <w:sz w:val="20"/>
              </w:rPr>
            </w:pPr>
          </w:p>
        </w:tc>
        <w:tc>
          <w:tcPr>
            <w:tcW w:w="1567" w:type="dxa"/>
            <w:tcBorders>
              <w:top w:val="single" w:sz="4" w:space="0" w:color="000000" w:themeColor="text1"/>
              <w:left w:val="nil"/>
              <w:bottom w:val="single" w:sz="4" w:space="0" w:color="auto"/>
              <w:right w:val="single" w:sz="4" w:space="0" w:color="auto"/>
            </w:tcBorders>
            <w:shd w:val="clear" w:color="auto" w:fill="auto"/>
            <w:noWrap/>
            <w:vAlign w:val="bottom"/>
            <w:hideMark/>
          </w:tcPr>
          <w:p w14:paraId="50F491B5" w14:textId="0DA345CB" w:rsidR="00722351" w:rsidRPr="00A4778E" w:rsidRDefault="00722351" w:rsidP="00722351">
            <w:pPr>
              <w:jc w:val="right"/>
              <w:rPr>
                <w:sz w:val="20"/>
              </w:rPr>
            </w:pPr>
            <w:r w:rsidRPr="00A4778E">
              <w:rPr>
                <w:sz w:val="20"/>
              </w:rPr>
              <w:t>7.</w:t>
            </w:r>
            <w:r w:rsidR="001A4801">
              <w:rPr>
                <w:sz w:val="20"/>
              </w:rPr>
              <w:t>03</w:t>
            </w:r>
            <w:r w:rsidRPr="00A4778E">
              <w:rPr>
                <w:sz w:val="20"/>
              </w:rPr>
              <w:t>%</w:t>
            </w:r>
          </w:p>
        </w:tc>
      </w:tr>
    </w:tbl>
    <w:p w14:paraId="04B80B63" w14:textId="72412586" w:rsidR="00A4778E" w:rsidRDefault="00A4778E">
      <w:pPr>
        <w:rPr>
          <w:b/>
          <w:szCs w:val="24"/>
          <w:u w:val="single"/>
        </w:rPr>
      </w:pPr>
    </w:p>
    <w:p w14:paraId="11AF43C8" w14:textId="30FD6929" w:rsidR="003538B8" w:rsidRPr="009C23E8" w:rsidRDefault="00431E5D" w:rsidP="009C23E8">
      <w:pPr>
        <w:pStyle w:val="CROutline1"/>
      </w:pPr>
      <w:r w:rsidRPr="009C23E8">
        <w:t xml:space="preserve"> </w:t>
      </w:r>
      <w:bookmarkStart w:id="47" w:name="_Toc159433769"/>
      <w:bookmarkStart w:id="48" w:name="_Toc159434283"/>
      <w:r w:rsidR="000F1CDA" w:rsidRPr="009C23E8">
        <w:t>RING FENCING PROVISIONS</w:t>
      </w:r>
      <w:bookmarkEnd w:id="47"/>
      <w:bookmarkEnd w:id="48"/>
    </w:p>
    <w:p w14:paraId="7C9B70B7" w14:textId="77777777" w:rsidR="00815BE8" w:rsidRPr="00180C29" w:rsidRDefault="00815BE8" w:rsidP="00FE4855">
      <w:pPr>
        <w:pStyle w:val="CRQuestion"/>
      </w:pPr>
      <w:r w:rsidRPr="00180C29">
        <w:t>Q.</w:t>
      </w:r>
      <w:r w:rsidRPr="00180C29">
        <w:tab/>
        <w:t>Can you please provide a description of ring-fencing?</w:t>
      </w:r>
    </w:p>
    <w:p w14:paraId="1D603C5D" w14:textId="0D163747" w:rsidR="00815BE8" w:rsidRDefault="00815BE8" w:rsidP="00FE4855">
      <w:pPr>
        <w:pStyle w:val="CRAnswer"/>
      </w:pPr>
      <w:r>
        <w:t>A.</w:t>
      </w:r>
      <w:r>
        <w:tab/>
        <w:t xml:space="preserve">Yes. At </w:t>
      </w:r>
      <w:proofErr w:type="gramStart"/>
      <w:r>
        <w:t>a high level</w:t>
      </w:r>
      <w:proofErr w:type="gramEnd"/>
      <w:r>
        <w:t xml:space="preserve">, ring-fencing is a method of separating assets or businesses from each other. </w:t>
      </w:r>
      <w:r w:rsidR="0002589C">
        <w:t xml:space="preserve"> </w:t>
      </w:r>
      <w:r>
        <w:t xml:space="preserve">For utilities, </w:t>
      </w:r>
      <w:r w:rsidR="00095D32">
        <w:t>regulators</w:t>
      </w:r>
      <w:r>
        <w:t xml:space="preserve"> have sought to use ring-fencing to insulate the utility from any potential credit risk associated with the utility’s parent or other affiliate companies. </w:t>
      </w:r>
    </w:p>
    <w:p w14:paraId="0FF88EBC" w14:textId="150ECC7D" w:rsidR="00815BE8" w:rsidRPr="00180C29" w:rsidRDefault="00815BE8" w:rsidP="0002589C">
      <w:pPr>
        <w:pStyle w:val="CRQuestion"/>
      </w:pPr>
      <w:r w:rsidRPr="00180C29">
        <w:t>Q.</w:t>
      </w:r>
      <w:r w:rsidRPr="00180C29">
        <w:tab/>
        <w:t>Have ring-fencing requirements been placed on CenterPoint Houston</w:t>
      </w:r>
      <w:r w:rsidR="005F369E">
        <w:t xml:space="preserve"> AND HAVE YOU ADHERED TO ALL REQUIREMENTS</w:t>
      </w:r>
      <w:r w:rsidRPr="00180C29">
        <w:t>?</w:t>
      </w:r>
    </w:p>
    <w:p w14:paraId="56CE8800" w14:textId="09171357" w:rsidR="00815BE8" w:rsidRDefault="00815BE8" w:rsidP="0002589C">
      <w:pPr>
        <w:pStyle w:val="CRAnswer"/>
      </w:pPr>
      <w:r>
        <w:t>A.</w:t>
      </w:r>
      <w:r>
        <w:tab/>
        <w:t xml:space="preserve">Yes, </w:t>
      </w:r>
      <w:r w:rsidR="0002589C">
        <w:t xml:space="preserve">14 </w:t>
      </w:r>
      <w:r>
        <w:t>ring-fencing provisions were contained in the Docket No. 49421 Final Order, Ordering Paragraphs No</w:t>
      </w:r>
      <w:r w:rsidR="001138C1">
        <w:t>s</w:t>
      </w:r>
      <w:r>
        <w:t>. 26</w:t>
      </w:r>
      <w:r w:rsidR="001138C1">
        <w:t>–</w:t>
      </w:r>
      <w:r>
        <w:t>39</w:t>
      </w:r>
      <w:r w:rsidR="0002589C">
        <w:t>,</w:t>
      </w:r>
      <w:r w:rsidR="005F369E">
        <w:t xml:space="preserve"> and CenterPoint Houston has adhered to all requirements.</w:t>
      </w:r>
    </w:p>
    <w:p w14:paraId="4C4444D6" w14:textId="16EA6C02" w:rsidR="00815BE8" w:rsidRPr="00180C29" w:rsidRDefault="00815BE8" w:rsidP="002F56B5">
      <w:pPr>
        <w:pStyle w:val="CRQuestion"/>
        <w:keepNext/>
      </w:pPr>
      <w:r w:rsidRPr="00180C29">
        <w:lastRenderedPageBreak/>
        <w:t>Q.</w:t>
      </w:r>
      <w:r w:rsidRPr="00180C29">
        <w:tab/>
      </w:r>
      <w:r w:rsidR="005F369E">
        <w:t xml:space="preserve">DOES CENTERPOINT REQUEST ANY CHANGES BE MADE TO THE REQUIREMENTS? </w:t>
      </w:r>
    </w:p>
    <w:p w14:paraId="77F38997" w14:textId="19F65B46" w:rsidR="000F0E53" w:rsidRDefault="00815BE8" w:rsidP="002F56B5">
      <w:pPr>
        <w:keepNext/>
        <w:spacing w:line="480" w:lineRule="auto"/>
        <w:ind w:left="720" w:hanging="720"/>
        <w:jc w:val="both"/>
      </w:pPr>
      <w:r>
        <w:t>A.</w:t>
      </w:r>
      <w:r>
        <w:tab/>
      </w:r>
      <w:r w:rsidR="005F369E">
        <w:t xml:space="preserve">Yes. </w:t>
      </w:r>
      <w:r w:rsidR="004E14A2">
        <w:t xml:space="preserve"> </w:t>
      </w:r>
      <w:r>
        <w:t>Ordering Paragraph No. 30 states:</w:t>
      </w:r>
      <w:r w:rsidR="005F369E">
        <w:t xml:space="preserve"> </w:t>
      </w:r>
      <w:r>
        <w:t>“CenterPoint Houston must maintain registrations with all three ratings agencies.”</w:t>
      </w:r>
      <w:r w:rsidR="00195504">
        <w:rPr>
          <w:rStyle w:val="FootnoteReference"/>
        </w:rPr>
        <w:footnoteReference w:id="16"/>
      </w:r>
      <w:r w:rsidR="009A14EE">
        <w:t xml:space="preserve"> </w:t>
      </w:r>
      <w:r w:rsidR="00F51F91">
        <w:t xml:space="preserve"> </w:t>
      </w:r>
      <w:r w:rsidR="009A14EE">
        <w:t xml:space="preserve">CenterPoint Houston </w:t>
      </w:r>
      <w:r w:rsidR="0020336B">
        <w:t xml:space="preserve">requests that </w:t>
      </w:r>
      <w:r w:rsidR="00B75A73">
        <w:t xml:space="preserve">this requirement be revised to </w:t>
      </w:r>
      <w:r w:rsidR="0024493C">
        <w:t>read</w:t>
      </w:r>
      <w:r w:rsidR="00B75A73">
        <w:t xml:space="preserve">, “CenterPoint Houston must maintain registrations with </w:t>
      </w:r>
      <w:r w:rsidR="00A2046E">
        <w:t xml:space="preserve">Moody’s and S&amp;P </w:t>
      </w:r>
      <w:r w:rsidR="00B75A73">
        <w:t>ratings agencies</w:t>
      </w:r>
      <w:r w:rsidR="00CE6B14">
        <w:t>.</w:t>
      </w:r>
      <w:r w:rsidR="009E68E2">
        <w:t>”</w:t>
      </w:r>
      <w:r w:rsidR="00D74C42">
        <w:t xml:space="preserve"> Reducing CenterPoint Houston’s required registrations from all three agencies to two should reduce the associated costs borne by our customers by approximately $990,000 annually. There is an annual fee of $66,000 per calendar year for the annual entity rating, as well as a 6.6 basis point fee to that agency to rate each new issuance, which resulted in $924,000 in costs in 2023. Having two of three agencies (Moody’s and S&amp;P) rate the issuances would be sufficient to maintain the rating integrity of the </w:t>
      </w:r>
      <w:r w:rsidR="003B2B9E">
        <w:t>entity</w:t>
      </w:r>
      <w:r w:rsidR="00D74C42">
        <w:t>.</w:t>
      </w:r>
    </w:p>
    <w:p w14:paraId="2B2B1929" w14:textId="0EB03777" w:rsidR="00D74C42" w:rsidRDefault="00CE2388" w:rsidP="00116EE2">
      <w:pPr>
        <w:spacing w:line="480" w:lineRule="auto"/>
        <w:ind w:left="720" w:firstLine="720"/>
        <w:jc w:val="both"/>
      </w:pPr>
      <w:r>
        <w:t xml:space="preserve">Similarly, Ordering Paragraph </w:t>
      </w:r>
      <w:r w:rsidR="00F823BA">
        <w:t xml:space="preserve">No. </w:t>
      </w:r>
      <w:r>
        <w:t>39 states:</w:t>
      </w:r>
      <w:r w:rsidR="00D0523F">
        <w:t xml:space="preserve"> </w:t>
      </w:r>
      <w:r w:rsidR="00986939">
        <w:t>“</w:t>
      </w:r>
      <w:r w:rsidR="00D0523F">
        <w:t>CenterPoint Houston must notify the Commission if its credit issuer rating or corporate rating as rated by any of the three major rating agencies falls below investment-grade level.</w:t>
      </w:r>
      <w:r>
        <w:t>”</w:t>
      </w:r>
      <w:r w:rsidR="003B2B9E">
        <w:rPr>
          <w:rStyle w:val="FootnoteReference"/>
        </w:rPr>
        <w:footnoteReference w:id="17"/>
      </w:r>
      <w:r w:rsidR="007E7259">
        <w:t xml:space="preserve"> </w:t>
      </w:r>
      <w:r w:rsidR="00A46AFF">
        <w:t xml:space="preserve">CenterPoint Houston requests this requirement </w:t>
      </w:r>
      <w:r w:rsidR="00760A50">
        <w:t xml:space="preserve">also </w:t>
      </w:r>
      <w:r w:rsidR="00A46AFF">
        <w:t>be revised to read, “</w:t>
      </w:r>
      <w:r w:rsidR="00067F8C">
        <w:t xml:space="preserve">CenterPoint Houston must notify the Commission if its credit issuer rating or corporate rating as rated by </w:t>
      </w:r>
      <w:r w:rsidR="0019551A">
        <w:t xml:space="preserve">Moody’s </w:t>
      </w:r>
      <w:r w:rsidR="00006876">
        <w:t xml:space="preserve">or </w:t>
      </w:r>
      <w:r w:rsidR="0019551A">
        <w:t xml:space="preserve">S&amp;P </w:t>
      </w:r>
      <w:r w:rsidR="00067F8C">
        <w:t>falls below investment-grade level.</w:t>
      </w:r>
      <w:r w:rsidR="00760A50">
        <w:t>”</w:t>
      </w:r>
    </w:p>
    <w:p w14:paraId="38DA1885" w14:textId="7B9B1E0B" w:rsidR="009C23E8" w:rsidRPr="00F823BA" w:rsidRDefault="00CF40B9" w:rsidP="00F823BA">
      <w:pPr>
        <w:spacing w:line="480" w:lineRule="auto"/>
        <w:ind w:left="720" w:firstLine="720"/>
        <w:jc w:val="both"/>
      </w:pPr>
      <w:r>
        <w:lastRenderedPageBreak/>
        <w:t xml:space="preserve">Reducing the </w:t>
      </w:r>
      <w:r w:rsidR="00D21C92">
        <w:t xml:space="preserve">number of rating agencies as proposed </w:t>
      </w:r>
      <w:r w:rsidR="000A2702">
        <w:t xml:space="preserve">in the </w:t>
      </w:r>
      <w:r w:rsidR="00CE7E68">
        <w:t xml:space="preserve">revisions </w:t>
      </w:r>
      <w:r w:rsidR="00D21C92">
        <w:t>above</w:t>
      </w:r>
      <w:r w:rsidR="009E68E2">
        <w:t xml:space="preserve"> is consistent with requirements of our peers</w:t>
      </w:r>
      <w:r w:rsidR="000C1C77">
        <w:t>,</w:t>
      </w:r>
      <w:r w:rsidR="009E68E2">
        <w:t xml:space="preserve"> including AEP Texas</w:t>
      </w:r>
      <w:r w:rsidR="00B60F65">
        <w:t>,</w:t>
      </w:r>
      <w:r w:rsidR="00BA6C71">
        <w:rPr>
          <w:rStyle w:val="FootnoteReference"/>
        </w:rPr>
        <w:footnoteReference w:id="18"/>
      </w:r>
      <w:r w:rsidR="009E68E2">
        <w:t xml:space="preserve"> SWEPCO</w:t>
      </w:r>
      <w:r w:rsidR="00EF587A">
        <w:t>,</w:t>
      </w:r>
      <w:r w:rsidR="008E7538">
        <w:rPr>
          <w:rStyle w:val="FootnoteReference"/>
        </w:rPr>
        <w:footnoteReference w:id="19"/>
      </w:r>
      <w:r w:rsidR="009E68E2">
        <w:t xml:space="preserve"> and Entergy Texas</w:t>
      </w:r>
      <w:r w:rsidR="003078D8">
        <w:t>.</w:t>
      </w:r>
      <w:r w:rsidR="003E7FC0">
        <w:rPr>
          <w:rStyle w:val="FootnoteReference"/>
        </w:rPr>
        <w:footnoteReference w:id="20"/>
      </w:r>
      <w:r w:rsidR="009A14EE">
        <w:t>.</w:t>
      </w:r>
    </w:p>
    <w:p w14:paraId="48DAF37D" w14:textId="12D6E618" w:rsidR="00533A4B" w:rsidRPr="009C23E8" w:rsidRDefault="00533A4B" w:rsidP="009C23E8">
      <w:pPr>
        <w:pStyle w:val="CROutline1"/>
      </w:pPr>
      <w:bookmarkStart w:id="49" w:name="_Toc159433770"/>
      <w:bookmarkStart w:id="50" w:name="_Toc159434284"/>
      <w:r w:rsidRPr="009C23E8">
        <w:t xml:space="preserve">TREASURY </w:t>
      </w:r>
      <w:r w:rsidR="00CD5656" w:rsidRPr="009C23E8">
        <w:t xml:space="preserve">AND INVESTOR RELATIONS </w:t>
      </w:r>
      <w:r w:rsidRPr="009C23E8">
        <w:t>DEPARTMENT</w:t>
      </w:r>
      <w:r w:rsidR="00CA3EC4" w:rsidRPr="009C23E8">
        <w:t>S</w:t>
      </w:r>
      <w:r w:rsidR="00E54361" w:rsidRPr="009C23E8">
        <w:t>’</w:t>
      </w:r>
      <w:r w:rsidRPr="009C23E8">
        <w:t xml:space="preserve"> ORGANIZATION</w:t>
      </w:r>
      <w:r w:rsidR="00362134" w:rsidRPr="009C23E8">
        <w:t xml:space="preserve"> </w:t>
      </w:r>
      <w:r w:rsidRPr="009C23E8">
        <w:t>AND OPERATING COSTS</w:t>
      </w:r>
      <w:bookmarkEnd w:id="49"/>
      <w:bookmarkEnd w:id="50"/>
    </w:p>
    <w:p w14:paraId="12BBEC36" w14:textId="77777777" w:rsidR="006A6DEE" w:rsidRDefault="006A6DEE" w:rsidP="002E4DAD">
      <w:pPr>
        <w:pStyle w:val="CRQuestion"/>
      </w:pPr>
      <w:r>
        <w:t>Q.</w:t>
      </w:r>
      <w:r>
        <w:tab/>
        <w:t>WHAT TOPICS DO YOU DISCUSS IN THIS SECTION OF YOUR TESTIMONY?</w:t>
      </w:r>
    </w:p>
    <w:p w14:paraId="4E619960" w14:textId="27D41381" w:rsidR="006A6DEE" w:rsidRPr="00C22DC2" w:rsidRDefault="006A6DEE" w:rsidP="002E4DAD">
      <w:pPr>
        <w:pStyle w:val="CRAnswer"/>
      </w:pPr>
      <w:r>
        <w:t>A.</w:t>
      </w:r>
      <w:r>
        <w:tab/>
        <w:t xml:space="preserve">I </w:t>
      </w:r>
      <w:r w:rsidR="0032561C">
        <w:t>support</w:t>
      </w:r>
      <w:r>
        <w:t xml:space="preserve"> the reasonable and necessary costs </w:t>
      </w:r>
      <w:r w:rsidR="001B63ED">
        <w:t>charged</w:t>
      </w:r>
      <w:r>
        <w:t xml:space="preserve"> to CenterPoint Houston for the services provided to CenterPoint Houston by the </w:t>
      </w:r>
      <w:r w:rsidR="0014223E">
        <w:t xml:space="preserve">CNP </w:t>
      </w:r>
      <w:r>
        <w:t xml:space="preserve">Treasury </w:t>
      </w:r>
      <w:r w:rsidR="00076CA6">
        <w:t xml:space="preserve">and Investor Relations </w:t>
      </w:r>
      <w:r>
        <w:t>Department</w:t>
      </w:r>
      <w:r w:rsidR="00076CA6">
        <w:t>s</w:t>
      </w:r>
      <w:r>
        <w:t>.</w:t>
      </w:r>
    </w:p>
    <w:p w14:paraId="78A36B64" w14:textId="727E34EE" w:rsidR="00533A4B" w:rsidRDefault="006B5DA3" w:rsidP="007578CB">
      <w:pPr>
        <w:pStyle w:val="CRQuestion"/>
        <w:keepNext/>
      </w:pPr>
      <w:r>
        <w:t>q.</w:t>
      </w:r>
      <w:r>
        <w:tab/>
      </w:r>
      <w:r w:rsidR="00533A4B">
        <w:t xml:space="preserve">PLEASE DESCRIBE THE TREASURY </w:t>
      </w:r>
      <w:r w:rsidR="00880AA3">
        <w:t xml:space="preserve">AND INVESTOR RELATIONS Departments </w:t>
      </w:r>
      <w:r w:rsidR="00533A4B">
        <w:t xml:space="preserve">AND </w:t>
      </w:r>
      <w:r w:rsidR="00880AA3">
        <w:t>TH</w:t>
      </w:r>
      <w:r w:rsidR="001A4F42">
        <w:t>eir</w:t>
      </w:r>
      <w:r w:rsidR="00880AA3">
        <w:t xml:space="preserve"> </w:t>
      </w:r>
      <w:r w:rsidR="0023757B">
        <w:t>FUNCTIONS</w:t>
      </w:r>
      <w:r w:rsidR="00533A4B">
        <w:t>.</w:t>
      </w:r>
    </w:p>
    <w:p w14:paraId="305BDF47" w14:textId="02E8A027" w:rsidR="00A25E66" w:rsidRDefault="002E4DAD" w:rsidP="007578CB">
      <w:pPr>
        <w:pStyle w:val="CRAnswer"/>
        <w:keepNext/>
      </w:pPr>
      <w:r>
        <w:t>A.</w:t>
      </w:r>
      <w:r>
        <w:tab/>
      </w:r>
      <w:r w:rsidR="006C2798">
        <w:t>T</w:t>
      </w:r>
      <w:r w:rsidR="008A3AE1">
        <w:t xml:space="preserve">he Treasury Department </w:t>
      </w:r>
      <w:r w:rsidR="005F369E">
        <w:t xml:space="preserve">facilitates cash movements for the Company, credit monitoring, and capital markets transactions to support the operations among other things. </w:t>
      </w:r>
      <w:r w:rsidR="00693228">
        <w:t xml:space="preserve"> </w:t>
      </w:r>
      <w:r w:rsidR="005F369E">
        <w:t xml:space="preserve">The department </w:t>
      </w:r>
      <w:r w:rsidR="008A3AE1">
        <w:t xml:space="preserve">reports to the Chief Financial Officer of </w:t>
      </w:r>
      <w:r w:rsidR="006B5DA3">
        <w:t>CNP</w:t>
      </w:r>
      <w:r w:rsidR="00552861">
        <w:t>.</w:t>
      </w:r>
    </w:p>
    <w:p w14:paraId="4D1FA189" w14:textId="22B7E249" w:rsidR="00B61159" w:rsidRDefault="00D6491C" w:rsidP="006B5E21">
      <w:pPr>
        <w:pStyle w:val="CRAnswer"/>
      </w:pPr>
      <w:r>
        <w:tab/>
      </w:r>
      <w:r>
        <w:tab/>
        <w:t>With respect to CenterPoint Houston, the Treasur</w:t>
      </w:r>
      <w:r w:rsidR="00D3098F">
        <w:t>y</w:t>
      </w:r>
      <w:r>
        <w:t xml:space="preserve"> Department provides a number of services.  T</w:t>
      </w:r>
      <w:r w:rsidR="003318BA">
        <w:t xml:space="preserve">he </w:t>
      </w:r>
      <w:r w:rsidR="0075091B">
        <w:t>T</w:t>
      </w:r>
      <w:r>
        <w:t>reasury</w:t>
      </w:r>
      <w:r w:rsidR="00C0327F">
        <w:t xml:space="preserve"> </w:t>
      </w:r>
      <w:r w:rsidR="0075091B">
        <w:t>operations group</w:t>
      </w:r>
      <w:r>
        <w:t xml:space="preserve"> secures cost-effective funding of short-term and long-term capital requirements for CNP and its subsidiaries, manages existing long-term capital to optimize the cost of capital in relation to the life and risk profile of the assets and preserves financial flexibility by ensuring ready access to various sources of short-term and long-term capital.  This group is </w:t>
      </w:r>
      <w:r>
        <w:lastRenderedPageBreak/>
        <w:t>also responsible for optimizing returns on the temporary investment of cash and for developing and maintaining relationships with banks, rating agencies and other members of the financial community.  This group also administers corporate and benefits trust investment activities and maintains relationships with corporate and benefit trust fund managers.</w:t>
      </w:r>
    </w:p>
    <w:p w14:paraId="5655981E" w14:textId="5EDFB981" w:rsidR="00D3098F" w:rsidRDefault="00D6491C" w:rsidP="006B5E21">
      <w:pPr>
        <w:pStyle w:val="CRAnswer"/>
      </w:pPr>
      <w:r>
        <w:tab/>
      </w:r>
      <w:r>
        <w:tab/>
      </w:r>
      <w:r w:rsidR="00D945EB">
        <w:t>For Investor Relations, t</w:t>
      </w:r>
      <w:r w:rsidR="00B61159">
        <w:t xml:space="preserve">he National Investor Relations Institute defines </w:t>
      </w:r>
      <w:r w:rsidR="00D574A4">
        <w:t>that fu</w:t>
      </w:r>
      <w:r>
        <w:t>n</w:t>
      </w:r>
      <w:r w:rsidR="00D574A4">
        <w:t>ction</w:t>
      </w:r>
      <w:r w:rsidR="00B61159">
        <w:t xml:space="preserve"> as “a strategic management responsibility that integrates finance, communication, marketing and securities law compliance to enable the most effective two-way communication between a company, the financial community, and other constituencies, which ultimately contributes to a company’s securities achieving fair valuation.” Consistent with that definition, CNP’s Investor Relations </w:t>
      </w:r>
      <w:r w:rsidR="00076CA6">
        <w:t>Department</w:t>
      </w:r>
      <w:r w:rsidR="00B61159">
        <w:t xml:space="preserve"> interacts with existing equity and fixed-income investors and prospective investors, and it assists with mandatory reporting requirements imposed by state and federal regulatory agencies, such as the </w:t>
      </w:r>
      <w:r w:rsidR="00C15D3F">
        <w:t xml:space="preserve">U.S. </w:t>
      </w:r>
      <w:r w:rsidR="00B61159">
        <w:t>Securities and Exchange Commission.</w:t>
      </w:r>
    </w:p>
    <w:p w14:paraId="711F4AD8" w14:textId="14F8C65E" w:rsidR="006B5E21" w:rsidRDefault="00D3098F" w:rsidP="00384BA8">
      <w:pPr>
        <w:pStyle w:val="CRAnswer"/>
      </w:pPr>
      <w:r>
        <w:tab/>
      </w:r>
      <w:r w:rsidR="00076CA6">
        <w:tab/>
      </w:r>
      <w:r>
        <w:t xml:space="preserve">With respect to Investor Relations’ role at CNP, CNP’s subsidiaries, including CenterPoint Houston, compete on a global level for capital not just with gas and electric utilities, but with all other publicly traded companies.  In this extremely competitive landscape, Investor Relations is crucial to help ensure the Company has access to a sufficiently large pool of investors by telling the Company’s “story” and making sure investors are familiar with the company; building long-term credibility within the financial community.  Investor Relations ensures that CenterPoint Houston’s debt and CNP’s equity securities are fairly </w:t>
      </w:r>
      <w:r>
        <w:lastRenderedPageBreak/>
        <w:t>traded and valued properly.  It provides debt and equity investors with access to management and company information and identifies bond and equity investors that are looking for specific investment return profiles that match CNP’s investment profile.</w:t>
      </w:r>
      <w:r w:rsidR="00B61159">
        <w:t xml:space="preserve"> </w:t>
      </w:r>
    </w:p>
    <w:p w14:paraId="3E0DCF52" w14:textId="7041E677" w:rsidR="00533A4B" w:rsidRDefault="00634996" w:rsidP="00634996">
      <w:pPr>
        <w:pStyle w:val="CRQuestion"/>
        <w:rPr>
          <w:b w:val="0"/>
        </w:rPr>
      </w:pPr>
      <w:r>
        <w:t>Q.</w:t>
      </w:r>
      <w:r>
        <w:tab/>
      </w:r>
      <w:r w:rsidR="00533A4B">
        <w:t xml:space="preserve">WHAT </w:t>
      </w:r>
      <w:r w:rsidR="004C58C2">
        <w:rPr>
          <w:b w:val="0"/>
        </w:rPr>
        <w:t>EXPENSE AMOUNTS IN CENTERPOINT HOUSTON’S PROPOSED COST OF SERVICE DOES YOUR TESTIMONY SUPPORT</w:t>
      </w:r>
      <w:r w:rsidR="00533A4B">
        <w:rPr>
          <w:b w:val="0"/>
        </w:rPr>
        <w:t>?</w:t>
      </w:r>
    </w:p>
    <w:p w14:paraId="2CA1308D" w14:textId="54124D24" w:rsidR="002531B9" w:rsidRDefault="00013DDA" w:rsidP="00026721">
      <w:pPr>
        <w:spacing w:line="480" w:lineRule="auto"/>
        <w:ind w:left="720" w:hanging="720"/>
        <w:jc w:val="both"/>
      </w:pPr>
      <w:r>
        <w:t>A.</w:t>
      </w:r>
      <w:r>
        <w:tab/>
      </w:r>
      <w:r w:rsidR="004A371B">
        <w:rPr>
          <w:szCs w:val="24"/>
        </w:rPr>
        <w:t xml:space="preserve">I support affiliate costs for the Treasury and Investor Relations functions charged to CenterPoint Houston. </w:t>
      </w:r>
      <w:r w:rsidR="00014073">
        <w:rPr>
          <w:szCs w:val="24"/>
        </w:rPr>
        <w:t xml:space="preserve"> The Direct Testimonies of </w:t>
      </w:r>
      <w:r w:rsidR="00A6693A">
        <w:t>Kristie L.</w:t>
      </w:r>
      <w:r w:rsidR="0024319C">
        <w:t xml:space="preserve"> Colvin and </w:t>
      </w:r>
      <w:r w:rsidR="00C73AF2">
        <w:t xml:space="preserve">L. </w:t>
      </w:r>
      <w:r w:rsidR="00014073">
        <w:t xml:space="preserve">Darren </w:t>
      </w:r>
      <w:r w:rsidR="0024319C">
        <w:t>Storey</w:t>
      </w:r>
      <w:r w:rsidR="00415AC7">
        <w:t xml:space="preserve"> </w:t>
      </w:r>
      <w:r w:rsidR="00792E97" w:rsidRPr="00792E97">
        <w:t xml:space="preserve">provide additional information regarding the amount of </w:t>
      </w:r>
      <w:r w:rsidR="00FC238C">
        <w:t>Treasury and Investor Relation</w:t>
      </w:r>
      <w:r w:rsidR="00DB5A23">
        <w:t>s Department</w:t>
      </w:r>
      <w:r w:rsidR="00FC238C">
        <w:t xml:space="preserve"> </w:t>
      </w:r>
      <w:r w:rsidR="00792E97" w:rsidRPr="00792E97">
        <w:t>expenses and the allocations of those expenses to CenterPoint Houston.</w:t>
      </w:r>
      <w:r w:rsidR="00F56002">
        <w:t xml:space="preserve"> </w:t>
      </w:r>
    </w:p>
    <w:p w14:paraId="29158CF7" w14:textId="34D6CE73" w:rsidR="004153CA" w:rsidRDefault="00634996" w:rsidP="00634996">
      <w:pPr>
        <w:pStyle w:val="CRQuestion"/>
        <w:rPr>
          <w:b w:val="0"/>
        </w:rPr>
      </w:pPr>
      <w:r>
        <w:t>Q.</w:t>
      </w:r>
      <w:r>
        <w:tab/>
      </w:r>
      <w:r w:rsidR="00977345">
        <w:t xml:space="preserve">HOW ARE </w:t>
      </w:r>
      <w:r w:rsidR="007749DB">
        <w:rPr>
          <w:b w:val="0"/>
        </w:rPr>
        <w:t xml:space="preserve">THE </w:t>
      </w:r>
      <w:r w:rsidR="00977345">
        <w:rPr>
          <w:b w:val="0"/>
        </w:rPr>
        <w:t xml:space="preserve">TREASURY AND INVESTOR RELATIONS </w:t>
      </w:r>
      <w:r w:rsidR="007749DB">
        <w:rPr>
          <w:b w:val="0"/>
        </w:rPr>
        <w:t>DEPARTMENTS’</w:t>
      </w:r>
      <w:r w:rsidR="00D174E1">
        <w:rPr>
          <w:b w:val="0"/>
        </w:rPr>
        <w:t xml:space="preserve"> EXPENSES CHARGED TO CENTERPOINT HOUSTON?</w:t>
      </w:r>
    </w:p>
    <w:p w14:paraId="3ACDA6FD" w14:textId="4B8176D4" w:rsidR="004153CA" w:rsidRPr="00634996" w:rsidRDefault="004153CA" w:rsidP="00634996">
      <w:pPr>
        <w:pStyle w:val="CRAnswer"/>
      </w:pPr>
      <w:r w:rsidRPr="00634996">
        <w:t>A.</w:t>
      </w:r>
      <w:r w:rsidRPr="00634996">
        <w:tab/>
      </w:r>
      <w:r w:rsidR="00AF14C8" w:rsidRPr="00634996">
        <w:t>The Treasury and Investor Relations organization expense</w:t>
      </w:r>
      <w:r w:rsidR="00743E1F" w:rsidRPr="00634996">
        <w:t>s</w:t>
      </w:r>
      <w:r w:rsidR="00AF14C8" w:rsidRPr="00634996">
        <w:t xml:space="preserve"> are allocated at cost according to the allocation methodologies addressed in </w:t>
      </w:r>
      <w:r w:rsidR="00634996" w:rsidRPr="00634996">
        <w:t xml:space="preserve">Mr. Storey’s </w:t>
      </w:r>
      <w:r w:rsidR="00C73AF2">
        <w:t>D</w:t>
      </w:r>
      <w:r w:rsidR="00634996" w:rsidRPr="00634996">
        <w:t xml:space="preserve">irect </w:t>
      </w:r>
      <w:r w:rsidR="004A56EE">
        <w:t>T</w:t>
      </w:r>
      <w:r w:rsidR="004A56EE" w:rsidRPr="00634996">
        <w:t>estimony</w:t>
      </w:r>
      <w:r w:rsidR="00634996" w:rsidRPr="00634996">
        <w:t>.</w:t>
      </w:r>
    </w:p>
    <w:p w14:paraId="4E215E4A" w14:textId="12A69120" w:rsidR="004153CA" w:rsidRDefault="00634996" w:rsidP="00634996">
      <w:pPr>
        <w:pStyle w:val="CRQuestion"/>
        <w:rPr>
          <w:b w:val="0"/>
        </w:rPr>
      </w:pPr>
      <w:r>
        <w:t>Q.</w:t>
      </w:r>
      <w:r>
        <w:tab/>
      </w:r>
      <w:r w:rsidR="00B62E30">
        <w:t>IS IT CORRECT THAT</w:t>
      </w:r>
      <w:r w:rsidR="002022F8">
        <w:t xml:space="preserve"> THE </w:t>
      </w:r>
      <w:r w:rsidR="00D87F65">
        <w:t xml:space="preserve">COSTS </w:t>
      </w:r>
      <w:r w:rsidR="002022F8">
        <w:rPr>
          <w:b w:val="0"/>
        </w:rPr>
        <w:t>THAT THE</w:t>
      </w:r>
      <w:r w:rsidR="00B37D04">
        <w:rPr>
          <w:b w:val="0"/>
        </w:rPr>
        <w:t xml:space="preserve"> TREASURY AND INVESTOR RELATIONS </w:t>
      </w:r>
      <w:r w:rsidR="00CB792C">
        <w:rPr>
          <w:b w:val="0"/>
        </w:rPr>
        <w:t>DEPARTMENTS</w:t>
      </w:r>
      <w:r w:rsidR="00B37D04">
        <w:rPr>
          <w:b w:val="0"/>
        </w:rPr>
        <w:t xml:space="preserve"> CHARGE CENTERPOINT </w:t>
      </w:r>
      <w:r w:rsidR="00141418">
        <w:rPr>
          <w:b w:val="0"/>
        </w:rPr>
        <w:t xml:space="preserve">HOUSTON </w:t>
      </w:r>
      <w:r w:rsidR="00DD1C87">
        <w:rPr>
          <w:b w:val="0"/>
        </w:rPr>
        <w:t xml:space="preserve">ARE </w:t>
      </w:r>
      <w:r w:rsidR="00193E01">
        <w:rPr>
          <w:b w:val="0"/>
        </w:rPr>
        <w:t xml:space="preserve">NOT HIGHER THAN </w:t>
      </w:r>
      <w:r w:rsidR="00A80F83">
        <w:rPr>
          <w:b w:val="0"/>
        </w:rPr>
        <w:t xml:space="preserve">WHAT THOSE </w:t>
      </w:r>
      <w:r w:rsidR="00CB792C">
        <w:rPr>
          <w:b w:val="0"/>
        </w:rPr>
        <w:t>DEPARTMENTS</w:t>
      </w:r>
      <w:r w:rsidR="00A80F83">
        <w:rPr>
          <w:b w:val="0"/>
        </w:rPr>
        <w:t xml:space="preserve"> </w:t>
      </w:r>
      <w:r w:rsidR="00594CFA">
        <w:rPr>
          <w:b w:val="0"/>
        </w:rPr>
        <w:t xml:space="preserve">CHARGE OTHER CNP AFFILIATES OR DIVISIONS </w:t>
      </w:r>
      <w:r w:rsidR="002C6792">
        <w:rPr>
          <w:b w:val="0"/>
        </w:rPr>
        <w:t xml:space="preserve">FOR </w:t>
      </w:r>
      <w:r w:rsidR="00CB792C">
        <w:rPr>
          <w:b w:val="0"/>
        </w:rPr>
        <w:t>DEPARTMENT</w:t>
      </w:r>
      <w:r w:rsidR="002C6792">
        <w:rPr>
          <w:b w:val="0"/>
        </w:rPr>
        <w:t xml:space="preserve"> </w:t>
      </w:r>
      <w:r w:rsidR="00C86FB8">
        <w:rPr>
          <w:b w:val="0"/>
        </w:rPr>
        <w:t>SERVICES?</w:t>
      </w:r>
    </w:p>
    <w:p w14:paraId="712B2541" w14:textId="69A29C62" w:rsidR="004153CA" w:rsidRDefault="004153CA" w:rsidP="00634996">
      <w:pPr>
        <w:pStyle w:val="CRAnswer"/>
      </w:pPr>
      <w:r w:rsidRPr="00634996">
        <w:lastRenderedPageBreak/>
        <w:t>A.</w:t>
      </w:r>
      <w:r w:rsidRPr="00634996">
        <w:tab/>
      </w:r>
      <w:r w:rsidR="00AF3342" w:rsidRPr="00AF3342">
        <w:t xml:space="preserve">Yes. The </w:t>
      </w:r>
      <w:r w:rsidR="00D87F65">
        <w:t>costs</w:t>
      </w:r>
      <w:r w:rsidR="00D87F65" w:rsidRPr="00AF3342">
        <w:t xml:space="preserve"> </w:t>
      </w:r>
      <w:r w:rsidR="00AF3342" w:rsidRPr="00AF3342">
        <w:t xml:space="preserve">that the </w:t>
      </w:r>
      <w:r w:rsidR="00CB792C">
        <w:t>Departments</w:t>
      </w:r>
      <w:r w:rsidR="00AF3342" w:rsidRPr="00AF3342">
        <w:t xml:space="preserve"> charge CenterPoint Houston for </w:t>
      </w:r>
      <w:r w:rsidR="00DD1C87">
        <w:t xml:space="preserve">operation and maintenance </w:t>
      </w:r>
      <w:r w:rsidR="00AF3342" w:rsidRPr="00AF3342">
        <w:t>expense costs are not higher than what th</w:t>
      </w:r>
      <w:r w:rsidR="00B45F6E">
        <w:t xml:space="preserve">ose </w:t>
      </w:r>
      <w:r w:rsidR="00CB792C">
        <w:t>Departments</w:t>
      </w:r>
      <w:r w:rsidR="00AF3342" w:rsidRPr="00AF3342">
        <w:t xml:space="preserve"> charge other CNP affiliates or divisions for </w:t>
      </w:r>
      <w:r w:rsidR="00B45F6E">
        <w:t>those</w:t>
      </w:r>
      <w:r w:rsidR="00AF3342" w:rsidRPr="00AF3342">
        <w:t xml:space="preserve"> services. All </w:t>
      </w:r>
      <w:r w:rsidR="00D869FA">
        <w:t xml:space="preserve">operation and maintenance </w:t>
      </w:r>
      <w:r w:rsidR="00AF3342" w:rsidRPr="00AF3342">
        <w:t xml:space="preserve">expense costs incurred by the </w:t>
      </w:r>
      <w:r w:rsidR="00CB792C">
        <w:t>Department</w:t>
      </w:r>
      <w:r w:rsidR="00A70033">
        <w:t>s</w:t>
      </w:r>
      <w:r w:rsidR="00AF3342" w:rsidRPr="00AF3342">
        <w:t xml:space="preserve"> are charged to all CNP affiliates at cost through allocations.  </w:t>
      </w:r>
      <w:r w:rsidR="00634996">
        <w:t xml:space="preserve">Ms. Colvin’s and Mr. Storey’s </w:t>
      </w:r>
      <w:r w:rsidR="00A6693A">
        <w:t xml:space="preserve">Direct Testimonies </w:t>
      </w:r>
      <w:r w:rsidR="00AF3342" w:rsidRPr="00AF3342">
        <w:t>further describe the process for direct charging or allocating costs to CenterPoint Houston and other CNP affiliates or divisions at cost.</w:t>
      </w:r>
    </w:p>
    <w:p w14:paraId="2F44ED26" w14:textId="18B699B5" w:rsidR="00E8369A" w:rsidRDefault="00634996" w:rsidP="007578CB">
      <w:pPr>
        <w:pStyle w:val="CRQuestion"/>
        <w:keepNext/>
        <w:rPr>
          <w:b w:val="0"/>
        </w:rPr>
      </w:pPr>
      <w:r>
        <w:t>Q.</w:t>
      </w:r>
      <w:r>
        <w:tab/>
      </w:r>
      <w:r w:rsidR="00E8369A">
        <w:t xml:space="preserve">ARE THE </w:t>
      </w:r>
      <w:r w:rsidR="001D1F5A">
        <w:rPr>
          <w:b w:val="0"/>
        </w:rPr>
        <w:t xml:space="preserve">TREASURY AND </w:t>
      </w:r>
      <w:r w:rsidR="002E5798">
        <w:rPr>
          <w:b w:val="0"/>
        </w:rPr>
        <w:t xml:space="preserve">INVESTOR RELATIONS </w:t>
      </w:r>
      <w:r w:rsidR="00CB792C">
        <w:rPr>
          <w:b w:val="0"/>
        </w:rPr>
        <w:t>DEPARTMENT</w:t>
      </w:r>
      <w:r w:rsidR="002E5798">
        <w:rPr>
          <w:b w:val="0"/>
        </w:rPr>
        <w:t>S’</w:t>
      </w:r>
      <w:r w:rsidR="00D3334D">
        <w:rPr>
          <w:b w:val="0"/>
        </w:rPr>
        <w:t xml:space="preserve"> </w:t>
      </w:r>
      <w:r w:rsidR="00E73F85">
        <w:rPr>
          <w:b w:val="0"/>
        </w:rPr>
        <w:t xml:space="preserve">EXPENSES YOU SUPPORT REASONABLE AND NECESSARY TO </w:t>
      </w:r>
      <w:r w:rsidR="00384050">
        <w:rPr>
          <w:b w:val="0"/>
        </w:rPr>
        <w:t>PROVIDE SERVICE TO THE PUBLIC</w:t>
      </w:r>
      <w:r w:rsidR="00E73F85">
        <w:rPr>
          <w:b w:val="0"/>
        </w:rPr>
        <w:t>?</w:t>
      </w:r>
    </w:p>
    <w:p w14:paraId="7811F166" w14:textId="40B20DDE" w:rsidR="00D76C4C" w:rsidRPr="00634996" w:rsidRDefault="00E8369A" w:rsidP="007578CB">
      <w:pPr>
        <w:pStyle w:val="CRAnswer"/>
        <w:keepNext/>
      </w:pPr>
      <w:r w:rsidRPr="00634996">
        <w:t>A.</w:t>
      </w:r>
      <w:r w:rsidRPr="00634996">
        <w:tab/>
      </w:r>
      <w:r w:rsidR="003E2951" w:rsidRPr="00634996">
        <w:t xml:space="preserve">Yes.  As my testimony demonstrates, the services that the </w:t>
      </w:r>
      <w:r w:rsidR="0005669F" w:rsidRPr="00634996">
        <w:t>Departments</w:t>
      </w:r>
      <w:r w:rsidR="003E2951" w:rsidRPr="00634996">
        <w:t xml:space="preserve"> provide to CenterPoint Houston are necessary and must be provided for the Company to provide electric service, and those services are provided at a reasonable cost.  </w:t>
      </w:r>
    </w:p>
    <w:p w14:paraId="148F6AD3" w14:textId="417BD5AE" w:rsidR="004F56B9" w:rsidRPr="004F56B9" w:rsidRDefault="00634996" w:rsidP="00634996">
      <w:pPr>
        <w:pStyle w:val="CRQuestion"/>
        <w:rPr>
          <w:b w:val="0"/>
        </w:rPr>
      </w:pPr>
      <w:r>
        <w:t>Q.</w:t>
      </w:r>
      <w:r>
        <w:tab/>
      </w:r>
      <w:r w:rsidR="008E2AF5">
        <w:t>DO THE EXPENSES FOR THE S</w:t>
      </w:r>
      <w:r w:rsidR="008E2AF5">
        <w:rPr>
          <w:b w:val="0"/>
        </w:rPr>
        <w:t>ERVICES PROVIDED BY THE TREASURY AND INVESTOR SERVICES</w:t>
      </w:r>
      <w:r w:rsidR="002A1DE1">
        <w:rPr>
          <w:b w:val="0"/>
        </w:rPr>
        <w:t xml:space="preserve"> </w:t>
      </w:r>
      <w:r w:rsidR="0005669F">
        <w:rPr>
          <w:b w:val="0"/>
        </w:rPr>
        <w:t>DEPARTMENTS</w:t>
      </w:r>
      <w:r w:rsidR="002A1DE1">
        <w:rPr>
          <w:b w:val="0"/>
        </w:rPr>
        <w:t xml:space="preserve"> AND CHARGED TO CENTERPOINT HOUSTON </w:t>
      </w:r>
      <w:r w:rsidR="00D660B8">
        <w:rPr>
          <w:b w:val="0"/>
        </w:rPr>
        <w:t xml:space="preserve">INCLUDE ANY </w:t>
      </w:r>
      <w:r w:rsidR="00AB05E1">
        <w:rPr>
          <w:b w:val="0"/>
        </w:rPr>
        <w:t xml:space="preserve">EXPENSES THAT PURA AND THE COMMISSION RULES PROHIBIT FROM INCLUSION AS A COMPONENT OF COST OF SERVICE?  </w:t>
      </w:r>
    </w:p>
    <w:p w14:paraId="36954D92" w14:textId="52DDDF89" w:rsidR="004942FC" w:rsidRPr="00634996" w:rsidRDefault="004942FC" w:rsidP="00634996">
      <w:pPr>
        <w:pStyle w:val="CRAnswer"/>
      </w:pPr>
      <w:r w:rsidRPr="00634996">
        <w:t>A.</w:t>
      </w:r>
      <w:r w:rsidRPr="00634996">
        <w:tab/>
      </w:r>
      <w:r w:rsidR="00B91CD5" w:rsidRPr="00634996">
        <w:t xml:space="preserve">No.  </w:t>
      </w:r>
      <w:r w:rsidR="004E6ABD" w:rsidRPr="00634996">
        <w:t xml:space="preserve">Although the </w:t>
      </w:r>
      <w:r w:rsidR="0005669F" w:rsidRPr="00634996">
        <w:t>Departments</w:t>
      </w:r>
      <w:r w:rsidR="004E6ABD" w:rsidRPr="00634996">
        <w:t xml:space="preserve"> incur certain expenses that must be excluded from CenterPoint Houston’s costs of service, such expenses were not allocated to CenterPoint Houston</w:t>
      </w:r>
      <w:r w:rsidR="00B12912" w:rsidRPr="00634996">
        <w:t>’</w:t>
      </w:r>
      <w:r w:rsidR="004E6ABD" w:rsidRPr="00634996">
        <w:t xml:space="preserve">s cost of service in this proceeding.  </w:t>
      </w:r>
      <w:r w:rsidR="00634996" w:rsidRPr="00634996">
        <w:t>Mr.</w:t>
      </w:r>
      <w:r w:rsidR="004E6ABD" w:rsidRPr="00634996">
        <w:t xml:space="preserve"> Storey</w:t>
      </w:r>
      <w:r w:rsidR="00634996" w:rsidRPr="00634996">
        <w:t xml:space="preserve">’s </w:t>
      </w:r>
      <w:r w:rsidR="00A6693A">
        <w:t>D</w:t>
      </w:r>
      <w:r w:rsidR="00A6693A" w:rsidRPr="00634996">
        <w:t xml:space="preserve">irect </w:t>
      </w:r>
      <w:r w:rsidR="00A6693A">
        <w:t>T</w:t>
      </w:r>
      <w:r w:rsidR="00A6693A" w:rsidRPr="00634996">
        <w:t xml:space="preserve">estimony </w:t>
      </w:r>
      <w:r w:rsidR="004E6ABD" w:rsidRPr="00634996">
        <w:t>discusses CNP</w:t>
      </w:r>
      <w:r w:rsidR="00202FD7" w:rsidRPr="00634996">
        <w:t>’</w:t>
      </w:r>
      <w:r w:rsidR="004E6ABD" w:rsidRPr="00634996">
        <w:t xml:space="preserve">s processes to track and identify such non-recoverable </w:t>
      </w:r>
      <w:r w:rsidR="004E6ABD" w:rsidRPr="00634996">
        <w:lastRenderedPageBreak/>
        <w:t xml:space="preserve">expenses, and </w:t>
      </w:r>
      <w:r w:rsidR="00634996" w:rsidRPr="00634996">
        <w:t xml:space="preserve">Ms. Colvin’s </w:t>
      </w:r>
      <w:r w:rsidR="00C73AF2">
        <w:t>D</w:t>
      </w:r>
      <w:r w:rsidR="00C73AF2" w:rsidRPr="00634996">
        <w:t xml:space="preserve">irect </w:t>
      </w:r>
      <w:r w:rsidR="00C73AF2">
        <w:t>T</w:t>
      </w:r>
      <w:r w:rsidR="00C73AF2" w:rsidRPr="00634996">
        <w:t>estimony</w:t>
      </w:r>
      <w:r w:rsidR="00C73AF2">
        <w:t xml:space="preserve"> </w:t>
      </w:r>
      <w:r w:rsidR="004E6ABD" w:rsidRPr="00634996">
        <w:t>discusses the adjustments to exclude non-recoverable costs from CenterPoint Houston</w:t>
      </w:r>
      <w:r w:rsidR="00F914B5" w:rsidRPr="00634996">
        <w:t>’</w:t>
      </w:r>
      <w:r w:rsidR="004E6ABD" w:rsidRPr="00634996">
        <w:t>s cost of service.</w:t>
      </w:r>
    </w:p>
    <w:p w14:paraId="1B64B683" w14:textId="6CC7EBBD" w:rsidR="005F369E" w:rsidRPr="000B640E" w:rsidRDefault="005F369E" w:rsidP="005A7F23">
      <w:pPr>
        <w:pStyle w:val="CRQuestion"/>
        <w:rPr>
          <w:b w:val="0"/>
        </w:rPr>
      </w:pPr>
      <w:r>
        <w:t>Q.</w:t>
      </w:r>
      <w:r>
        <w:tab/>
      </w:r>
      <w:r w:rsidRPr="000B640E">
        <w:t xml:space="preserve">HOW DO </w:t>
      </w:r>
      <w:r>
        <w:t xml:space="preserve">THE TREASURY </w:t>
      </w:r>
      <w:r w:rsidR="00EC2825">
        <w:t xml:space="preserve">and InVestor Relations </w:t>
      </w:r>
      <w:r>
        <w:t>DEPARTMENT</w:t>
      </w:r>
      <w:r w:rsidR="00EC2825">
        <w:t>S</w:t>
      </w:r>
      <w:r w:rsidRPr="000B640E">
        <w:t xml:space="preserve"> MONITOR </w:t>
      </w:r>
      <w:r w:rsidR="00351AED">
        <w:t xml:space="preserve">THEIR </w:t>
      </w:r>
      <w:r w:rsidRPr="000B640E">
        <w:t>EXPENSES TO ENSURE COSTS INCURRED ARE REASONABLE AND NECESSARY AND THAT COSTS ARE PROPERLY ASSIGNED?</w:t>
      </w:r>
    </w:p>
    <w:p w14:paraId="01BA78EA" w14:textId="3D7552C5" w:rsidR="005F369E" w:rsidRDefault="005F369E" w:rsidP="005A7F23">
      <w:pPr>
        <w:pStyle w:val="CRAnswer"/>
        <w:rPr>
          <w:b/>
        </w:rPr>
      </w:pPr>
      <w:r w:rsidRPr="00F67002">
        <w:t>A.</w:t>
      </w:r>
      <w:r>
        <w:tab/>
        <w:t xml:space="preserve">The </w:t>
      </w:r>
      <w:r w:rsidR="00740A90">
        <w:t xml:space="preserve">Departments </w:t>
      </w:r>
      <w:r w:rsidR="00D144E1">
        <w:t xml:space="preserve">utilize </w:t>
      </w:r>
      <w:r>
        <w:t xml:space="preserve">CNP’s annual budget process, described </w:t>
      </w:r>
      <w:r w:rsidR="00634996">
        <w:t xml:space="preserve">by Mr. Storey in his </w:t>
      </w:r>
      <w:r w:rsidR="00331DBD">
        <w:t>Direct Testimony</w:t>
      </w:r>
      <w:r>
        <w:t xml:space="preserve">, to determine expected expenditures for the coming year.  As part of this process, management reviews and approves the annual budget.  </w:t>
      </w:r>
      <w:r w:rsidR="002F38D3">
        <w:t>I also</w:t>
      </w:r>
      <w:r>
        <w:t xml:space="preserve"> review and approve invoices and monitor actual expenditures against the budget each month.</w:t>
      </w:r>
    </w:p>
    <w:p w14:paraId="3C2DFD5E" w14:textId="77777777" w:rsidR="0049275D" w:rsidRDefault="0049275D" w:rsidP="0049275D">
      <w:pPr>
        <w:pStyle w:val="CRQuestion"/>
        <w:rPr>
          <w:b w:val="0"/>
          <w:bCs/>
          <w:color w:val="000000"/>
        </w:rPr>
      </w:pPr>
      <w:r>
        <w:t xml:space="preserve">Q. </w:t>
      </w:r>
      <w:r>
        <w:rPr>
          <w:bCs/>
          <w:color w:val="000000"/>
        </w:rPr>
        <w:tab/>
        <w:t>ARE INVESTORS NECESSARY FOR CNP AND CENTERPOINT HOUSTON TO OPERATE AND PROVIDE SERVICE TO CUSTOMERS?</w:t>
      </w:r>
    </w:p>
    <w:p w14:paraId="4B5DD26E" w14:textId="08C00CDE" w:rsidR="0049275D" w:rsidRDefault="0049275D" w:rsidP="0049275D">
      <w:pPr>
        <w:pStyle w:val="CRAnswer"/>
      </w:pPr>
      <w:r>
        <w:t>A.</w:t>
      </w:r>
      <w:r>
        <w:tab/>
        <w:t>Yes, as stated above, if all of these activities were not done, the cost of capital (both debt and equity) would be higher. In essence, all of the Investor Relations activities serve to reduce the cost of capital by ensuring the best possible pricing execution for debt and equity issuances. A more educated and diversified investor pool that is familiar with CenterPoint Houston and its investment thesis helps build stronger demand for the company’s issuances and allows for more leverage in negotiating price. Just as a strong balance sheet with a supportive capital structure supports CenterPoint Houston’s credit rating and lower</w:t>
      </w:r>
      <w:r w:rsidR="00FE54A1">
        <w:t>s</w:t>
      </w:r>
      <w:r>
        <w:t xml:space="preserve"> borrowing cost</w:t>
      </w:r>
      <w:r w:rsidR="00FE54A1">
        <w:t>s</w:t>
      </w:r>
      <w:r>
        <w:t>, an active Investor Relations Department does the same.</w:t>
      </w:r>
    </w:p>
    <w:p w14:paraId="695EAEDC" w14:textId="77777777" w:rsidR="0049275D" w:rsidRDefault="0049275D" w:rsidP="0049275D">
      <w:pPr>
        <w:pStyle w:val="CRQuestion"/>
        <w:rPr>
          <w:b w:val="0"/>
          <w:bCs/>
          <w:color w:val="000000"/>
        </w:rPr>
      </w:pPr>
      <w:r>
        <w:lastRenderedPageBreak/>
        <w:t xml:space="preserve">Q. </w:t>
      </w:r>
      <w:r>
        <w:rPr>
          <w:bCs/>
          <w:color w:val="000000"/>
        </w:rPr>
        <w:tab/>
        <w:t>ARE THERE OTHER BENEFITS OF INVESTOR RELATIONS TO CUSTOMERS?</w:t>
      </w:r>
    </w:p>
    <w:p w14:paraId="09FB10E3" w14:textId="148F046D" w:rsidR="00BA4D97" w:rsidRDefault="0049275D" w:rsidP="0049275D">
      <w:pPr>
        <w:pStyle w:val="CRAnswer"/>
      </w:pPr>
      <w:r>
        <w:t xml:space="preserve">A. </w:t>
      </w:r>
      <w:r>
        <w:tab/>
        <w:t>Yes. Other benefits that Investor Relations provides include preparing competitive market analysis, trends and peer analysis, monitoring activist investor activity, providing stock surveillance reporting, and compiling bond holder and shareholder ownership reports and provid</w:t>
      </w:r>
      <w:r w:rsidR="00076CA6">
        <w:t>ing</w:t>
      </w:r>
      <w:r>
        <w:t xml:space="preserve"> general reporting on securities performance. All of these activities help to ensure that CNP and CenterPoint Houston’s leadership have all the right information to make the best business decisions, which in turn, facilitates the financial health of CenterPoint Houston  and translates to benefits for customers.</w:t>
      </w:r>
    </w:p>
    <w:p w14:paraId="2CFA49C1" w14:textId="248ADB39" w:rsidR="005F369E" w:rsidRDefault="005F369E" w:rsidP="005F369E">
      <w:pPr>
        <w:pStyle w:val="CRQuestion"/>
        <w:keepNext/>
        <w:keepLines/>
      </w:pPr>
      <w:r>
        <w:t>Q.</w:t>
      </w:r>
      <w:r>
        <w:tab/>
        <w:t xml:space="preserve">DO YOU HAVE ANY CONCLUDING COMMENTS REGARDING THE COSTS OF THE TREASURY </w:t>
      </w:r>
      <w:r w:rsidR="008C76D0">
        <w:t xml:space="preserve">and INVESTOR RELATIONS </w:t>
      </w:r>
      <w:r w:rsidR="00FF1166">
        <w:t>DEPARTMENTS</w:t>
      </w:r>
      <w:r>
        <w:t>?</w:t>
      </w:r>
    </w:p>
    <w:p w14:paraId="736E6E2B" w14:textId="2E9229C2" w:rsidR="009C23E8" w:rsidRDefault="005F369E" w:rsidP="00634996">
      <w:pPr>
        <w:pStyle w:val="CRAnswer"/>
        <w:rPr>
          <w:u w:val="single"/>
        </w:rPr>
      </w:pPr>
      <w:r>
        <w:t>A.</w:t>
      </w:r>
      <w:r>
        <w:tab/>
        <w:t>Yes.  The functions and services that are performed by the Department</w:t>
      </w:r>
      <w:r w:rsidR="00FF1166">
        <w:t>s</w:t>
      </w:r>
      <w:r>
        <w:t xml:space="preserve"> are essential functions that must be performed by any large, publicly owned corporation today, not just utilities.  They are necessary for CenterPoint Houston to be able to provide the service that it does to the public, and the costs assigned to CenterPoint Houston for these functions and services are reasonable.</w:t>
      </w:r>
      <w:r w:rsidRPr="0082541D">
        <w:t xml:space="preserve"> </w:t>
      </w:r>
    </w:p>
    <w:p w14:paraId="79A15630" w14:textId="7D542A29" w:rsidR="0081285D" w:rsidRPr="009C23E8" w:rsidRDefault="0081285D" w:rsidP="009C23E8">
      <w:pPr>
        <w:pStyle w:val="CROutline1"/>
      </w:pPr>
      <w:bookmarkStart w:id="51" w:name="_Toc159433771"/>
      <w:bookmarkStart w:id="52" w:name="_Toc159434285"/>
      <w:r w:rsidRPr="009C23E8">
        <w:t>CONCLUSION</w:t>
      </w:r>
      <w:bookmarkEnd w:id="51"/>
      <w:bookmarkEnd w:id="52"/>
    </w:p>
    <w:p w14:paraId="5F4F8D4B" w14:textId="67742288" w:rsidR="007E1B1A" w:rsidRDefault="00A50B3E" w:rsidP="00E033D2">
      <w:pPr>
        <w:pStyle w:val="CRQuestion"/>
        <w:rPr>
          <w:b w:val="0"/>
        </w:rPr>
      </w:pPr>
      <w:r>
        <w:t>Q.</w:t>
      </w:r>
      <w:r>
        <w:tab/>
        <w:t xml:space="preserve">DOES </w:t>
      </w:r>
      <w:r w:rsidR="007E1B1A">
        <w:t xml:space="preserve">THIS CONCLUDE YOUR </w:t>
      </w:r>
      <w:r w:rsidR="000B640E">
        <w:t xml:space="preserve">DIRECT </w:t>
      </w:r>
      <w:r w:rsidR="007E1B1A">
        <w:t>TESTIMONY?</w:t>
      </w:r>
    </w:p>
    <w:p w14:paraId="09EC6DFC" w14:textId="77777777" w:rsidR="00CA50DA" w:rsidRDefault="007E1B1A" w:rsidP="00E033D2">
      <w:pPr>
        <w:pStyle w:val="CRAnswer"/>
      </w:pPr>
      <w:r>
        <w:t>A.</w:t>
      </w:r>
      <w:r>
        <w:tab/>
        <w:t>Yes.</w:t>
      </w:r>
    </w:p>
    <w:sectPr w:rsidR="00CA50DA" w:rsidSect="00724F5A">
      <w:headerReference w:type="default" r:id="rId16"/>
      <w:pgSz w:w="12240" w:h="15840" w:code="1"/>
      <w:pgMar w:top="1440" w:right="1440" w:bottom="1440" w:left="2160" w:header="720" w:footer="720" w:gutter="0"/>
      <w:lnNumType w:countBy="1"/>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0D1EA" w14:textId="77777777" w:rsidR="00EF19AB" w:rsidRDefault="00EF19AB" w:rsidP="007E1B1A">
      <w:r>
        <w:separator/>
      </w:r>
    </w:p>
  </w:endnote>
  <w:endnote w:type="continuationSeparator" w:id="0">
    <w:p w14:paraId="7AB708B9" w14:textId="77777777" w:rsidR="00EF19AB" w:rsidRDefault="00EF19AB" w:rsidP="007E1B1A">
      <w:r>
        <w:continuationSeparator/>
      </w:r>
    </w:p>
  </w:endnote>
  <w:endnote w:type="continuationNotice" w:id="1">
    <w:p w14:paraId="76293467" w14:textId="77777777" w:rsidR="00EF19AB" w:rsidRDefault="00EF19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2A364" w14:textId="48D8DBA3" w:rsidR="00B24865" w:rsidRDefault="00B24865" w:rsidP="00364BC4">
    <w:pPr>
      <w:pStyle w:val="Footer"/>
      <w:tabs>
        <w:tab w:val="clear" w:pos="4320"/>
        <w:tab w:val="clear" w:pos="8640"/>
        <w:tab w:val="right" w:pos="9000"/>
      </w:tabs>
      <w:jc w:val="center"/>
      <w:rPr>
        <w:b/>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4A87" w14:textId="524591E1" w:rsidR="00B24865" w:rsidRDefault="00B24865" w:rsidP="00364BC4">
    <w:pPr>
      <w:pStyle w:val="Footer"/>
      <w:tabs>
        <w:tab w:val="clear" w:pos="4320"/>
        <w:tab w:val="clear" w:pos="8640"/>
        <w:tab w:val="right" w:pos="9000"/>
      </w:tabs>
      <w:jc w:val="center"/>
      <w:rPr>
        <w:b/>
        <w:sz w:val="20"/>
      </w:rPr>
    </w:pPr>
    <w:r w:rsidRPr="003E2875">
      <w:rPr>
        <w:b/>
        <w:sz w:val="20"/>
      </w:rPr>
      <w:t xml:space="preserve">Direct Testimony of </w:t>
    </w:r>
    <w:r w:rsidR="00CB0A73">
      <w:rPr>
        <w:b/>
        <w:sz w:val="20"/>
      </w:rPr>
      <w:t>Jacqueline M. Richert</w:t>
    </w:r>
  </w:p>
  <w:p w14:paraId="6163DAEF" w14:textId="77777777" w:rsidR="00B24865" w:rsidRDefault="00B24865" w:rsidP="00364BC4">
    <w:pPr>
      <w:pStyle w:val="Footer"/>
      <w:tabs>
        <w:tab w:val="clear" w:pos="4320"/>
        <w:tab w:val="clear" w:pos="8640"/>
        <w:tab w:val="right" w:pos="9000"/>
      </w:tabs>
      <w:jc w:val="center"/>
      <w:rPr>
        <w:b/>
        <w:sz w:val="20"/>
      </w:rPr>
    </w:pPr>
    <w:r w:rsidRPr="003E2875">
      <w:rPr>
        <w:b/>
        <w:sz w:val="20"/>
      </w:rPr>
      <w:t>CenterPoint Energy Houston Electric, LLC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6E6EE" w14:textId="77777777" w:rsidR="00EF19AB" w:rsidRDefault="00EF19AB" w:rsidP="007E1B1A">
      <w:r>
        <w:separator/>
      </w:r>
    </w:p>
  </w:footnote>
  <w:footnote w:type="continuationSeparator" w:id="0">
    <w:p w14:paraId="03F3F328" w14:textId="77777777" w:rsidR="00EF19AB" w:rsidRDefault="00EF19AB" w:rsidP="007E1B1A">
      <w:r>
        <w:continuationSeparator/>
      </w:r>
    </w:p>
  </w:footnote>
  <w:footnote w:type="continuationNotice" w:id="1">
    <w:p w14:paraId="370F8C1A" w14:textId="77777777" w:rsidR="00EF19AB" w:rsidRDefault="00EF19AB"/>
  </w:footnote>
  <w:footnote w:id="2">
    <w:p w14:paraId="0FEDF86D" w14:textId="2694674D" w:rsidR="00E24070" w:rsidRDefault="00E24070" w:rsidP="001A367B">
      <w:pPr>
        <w:pStyle w:val="Footnote"/>
      </w:pPr>
      <w:r>
        <w:rPr>
          <w:rStyle w:val="FootnoteReference"/>
        </w:rPr>
        <w:footnoteRef/>
      </w:r>
      <w:r>
        <w:t xml:space="preserve">  Inflation Reduction Act of 2022, Pub. L. No. 117-169, title I, § </w:t>
      </w:r>
      <w:r w:rsidR="00A22E6B">
        <w:t>10101</w:t>
      </w:r>
      <w:r>
        <w:t>, 136 Stat. 1818</w:t>
      </w:r>
      <w:r w:rsidR="00EB39F3">
        <w:t>.</w:t>
      </w:r>
    </w:p>
  </w:footnote>
  <w:footnote w:id="3">
    <w:p w14:paraId="76831CAE" w14:textId="5DC4FE7F" w:rsidR="00084D06" w:rsidRPr="00BF698F" w:rsidRDefault="00084D06" w:rsidP="001A367B">
      <w:pPr>
        <w:pStyle w:val="Footnote"/>
      </w:pPr>
      <w:r>
        <w:rPr>
          <w:rStyle w:val="FootnoteReference"/>
        </w:rPr>
        <w:footnoteRef/>
      </w:r>
      <w:r>
        <w:t xml:space="preserve">  </w:t>
      </w:r>
      <w:r w:rsidR="00BF698F">
        <w:rPr>
          <w:i/>
        </w:rPr>
        <w:t>Application of CenterPoint Energy Houston Electric, LLC for Authority to Change Rates</w:t>
      </w:r>
      <w:r w:rsidR="00BF698F">
        <w:t xml:space="preserve">, Docket No. 49421, </w:t>
      </w:r>
      <w:r w:rsidR="00C74154">
        <w:t>Findings of Fact Nos. 71–87</w:t>
      </w:r>
      <w:r w:rsidR="004B45FF">
        <w:t>, Ordering Paragraphs Nos. 26–39 (Mar. 9, 2020).</w:t>
      </w:r>
    </w:p>
  </w:footnote>
  <w:footnote w:id="4">
    <w:p w14:paraId="3E224A54" w14:textId="766AACC1" w:rsidR="00E97EAB" w:rsidRPr="00B159F8" w:rsidRDefault="00E97EAB" w:rsidP="001A367B">
      <w:pPr>
        <w:pStyle w:val="Footnote"/>
      </w:pPr>
      <w:r>
        <w:rPr>
          <w:rStyle w:val="FootnoteReference"/>
        </w:rPr>
        <w:footnoteRef/>
      </w:r>
      <w:r>
        <w:t xml:space="preserve">  </w:t>
      </w:r>
      <w:r w:rsidR="00B159F8">
        <w:rPr>
          <w:i/>
        </w:rPr>
        <w:t>Application of AEP Texas Inc. for Authority to Change Rates</w:t>
      </w:r>
      <w:r w:rsidR="00B159F8">
        <w:t xml:space="preserve">, Docket No. 49494, Finding of Fact No. 38, </w:t>
      </w:r>
      <w:r w:rsidR="0012603E">
        <w:t>Ordering Paragraph No. 113 (Apr. 3, 2020) (</w:t>
      </w:r>
      <w:r w:rsidR="003543DA">
        <w:t>“AEP Texas must work to ensure that its credit ratings</w:t>
      </w:r>
      <w:r w:rsidR="002F7292">
        <w:t xml:space="preserve"> </w:t>
      </w:r>
      <w:r w:rsidR="003543DA">
        <w:t>at S&amp;P and Moody’s remain at or above AEP Texas’s current credit ratings.”).</w:t>
      </w:r>
    </w:p>
  </w:footnote>
  <w:footnote w:id="5">
    <w:p w14:paraId="4752F6BD" w14:textId="0D94C5F3" w:rsidR="003543DA" w:rsidRPr="00895F49" w:rsidRDefault="003543DA" w:rsidP="001A367B">
      <w:pPr>
        <w:pStyle w:val="Footnote"/>
      </w:pPr>
      <w:r>
        <w:rPr>
          <w:rStyle w:val="FootnoteReference"/>
        </w:rPr>
        <w:footnoteRef/>
      </w:r>
      <w:r>
        <w:t xml:space="preserve">  </w:t>
      </w:r>
      <w:r w:rsidR="00895F49">
        <w:rPr>
          <w:i/>
        </w:rPr>
        <w:t>Application of Southwestern Electric Power Company for Authority to Change Rates</w:t>
      </w:r>
      <w:r w:rsidR="00895F49">
        <w:t>, Docket No. 51415,</w:t>
      </w:r>
      <w:r w:rsidR="002F7292">
        <w:t xml:space="preserve"> </w:t>
      </w:r>
      <w:r w:rsidR="00895F49">
        <w:t>Finding of Fact</w:t>
      </w:r>
      <w:r w:rsidR="00570422">
        <w:t xml:space="preserve"> No. 108</w:t>
      </w:r>
      <w:r w:rsidR="003F1093">
        <w:t xml:space="preserve"> (</w:t>
      </w:r>
      <w:r w:rsidR="002F7292">
        <w:t>Jan. 14, 2022)</w:t>
      </w:r>
      <w:r w:rsidR="003F1093">
        <w:t xml:space="preserve"> (“SWEPCO will work to ensure that its credit ratings at Standard</w:t>
      </w:r>
      <w:r w:rsidR="002F7292">
        <w:t xml:space="preserve"> </w:t>
      </w:r>
      <w:r w:rsidR="003F1093">
        <w:t>and Poor’s and</w:t>
      </w:r>
      <w:r w:rsidR="002F7292">
        <w:t xml:space="preserve"> </w:t>
      </w:r>
      <w:r w:rsidR="003F1093">
        <w:t>Moody’s remain at or above SWEPCO’s current credit ratings.”).</w:t>
      </w:r>
    </w:p>
  </w:footnote>
  <w:footnote w:id="6">
    <w:p w14:paraId="0F7F25EC" w14:textId="4CE98A3F" w:rsidR="002F7292" w:rsidRPr="00F620E4" w:rsidRDefault="002F7292" w:rsidP="001A367B">
      <w:pPr>
        <w:pStyle w:val="Footnote"/>
      </w:pPr>
      <w:r>
        <w:rPr>
          <w:rStyle w:val="FootnoteReference"/>
        </w:rPr>
        <w:footnoteRef/>
      </w:r>
      <w:r>
        <w:t xml:space="preserve">  </w:t>
      </w:r>
      <w:r w:rsidR="00F620E4">
        <w:rPr>
          <w:i/>
        </w:rPr>
        <w:t>Application of Entergy Texas, Inc. for Authority to Change Rates</w:t>
      </w:r>
      <w:r w:rsidR="00F620E4">
        <w:t xml:space="preserve">, Docket No. 53719, </w:t>
      </w:r>
      <w:r w:rsidR="00031520">
        <w:t>Finding of Fact No. 118, Ordering Paragraph No. 12 (“</w:t>
      </w:r>
      <w:r w:rsidR="00E9154B">
        <w:rPr>
          <w:u w:val="single"/>
        </w:rPr>
        <w:t>Entergy</w:t>
      </w:r>
      <w:r w:rsidR="00E9154B" w:rsidRPr="00FD639E">
        <w:rPr>
          <w:u w:val="single"/>
        </w:rPr>
        <w:t xml:space="preserve"> </w:t>
      </w:r>
      <w:r w:rsidR="00FD639E" w:rsidRPr="00FD639E">
        <w:rPr>
          <w:u w:val="single"/>
        </w:rPr>
        <w:t>Texas Credit Ratings.</w:t>
      </w:r>
      <w:r w:rsidR="00FD639E">
        <w:t xml:space="preserve"> Entergy Texas must work to ensure that its credit ratings at S&amp;P and Moody's remain at or above Entergy Texas</w:t>
      </w:r>
      <w:r w:rsidR="00882C56">
        <w:t>’</w:t>
      </w:r>
      <w:r w:rsidR="00FD639E">
        <w:t>s current credit ratings.”).</w:t>
      </w:r>
    </w:p>
  </w:footnote>
  <w:footnote w:id="7">
    <w:p w14:paraId="44EEEC90" w14:textId="681D42B1" w:rsidR="00B24865" w:rsidRDefault="00B24865" w:rsidP="001A367B">
      <w:pPr>
        <w:pStyle w:val="Footnote"/>
      </w:pPr>
      <w:r>
        <w:rPr>
          <w:rStyle w:val="FootnoteReference"/>
        </w:rPr>
        <w:footnoteRef/>
      </w:r>
      <w:r>
        <w:t xml:space="preserve">  S&amp;P refers to its rating for the credit risk of the enterprise as a “corporate credit rating,” whereas Fitch refers to its rating for the credit risk of the enterprise as an “issuer default rating.”  For the sake of brevity, I will use the term “issuer rating” in this testimony to refer to the credit risk of the business enterprise.</w:t>
      </w:r>
    </w:p>
  </w:footnote>
  <w:footnote w:id="8">
    <w:p w14:paraId="5B2DB4B9" w14:textId="3CA8D996" w:rsidR="00B24865" w:rsidRDefault="00B24865" w:rsidP="001A367B">
      <w:pPr>
        <w:pStyle w:val="Footnote"/>
      </w:pPr>
      <w:r w:rsidRPr="00384BA8">
        <w:rPr>
          <w:rStyle w:val="FootnoteReference"/>
        </w:rPr>
        <w:footnoteRef/>
      </w:r>
      <w:r w:rsidRPr="00384BA8">
        <w:t xml:space="preserve"> </w:t>
      </w:r>
      <w:r w:rsidR="00D23A1B" w:rsidRPr="00384BA8">
        <w:t xml:space="preserve"> </w:t>
      </w:r>
      <w:r w:rsidRPr="00384BA8">
        <w:rPr>
          <w:i/>
        </w:rPr>
        <w:t>See</w:t>
      </w:r>
      <w:r w:rsidRPr="00384BA8">
        <w:t xml:space="preserve"> CenterPoint Energy, Inc.</w:t>
      </w:r>
      <w:r w:rsidR="00A64999" w:rsidRPr="00384BA8">
        <w:t xml:space="preserve">, </w:t>
      </w:r>
      <w:r w:rsidR="00AD7D23">
        <w:t xml:space="preserve">2023 </w:t>
      </w:r>
      <w:r w:rsidR="00A64999" w:rsidRPr="00384BA8">
        <w:t>Annual Report (</w:t>
      </w:r>
      <w:r w:rsidRPr="00384BA8">
        <w:t>Form 10-K</w:t>
      </w:r>
      <w:r w:rsidR="00A64999" w:rsidRPr="00384BA8">
        <w:t>)</w:t>
      </w:r>
      <w:r w:rsidRPr="00384BA8">
        <w:t xml:space="preserve"> </w:t>
      </w:r>
      <w:r w:rsidR="001C36DD">
        <w:t>(</w:t>
      </w:r>
      <w:r w:rsidR="00ED4B86" w:rsidRPr="004D53EB">
        <w:t>Feb</w:t>
      </w:r>
      <w:r w:rsidR="001C36DD">
        <w:t>.</w:t>
      </w:r>
      <w:r w:rsidR="00ED4B86" w:rsidRPr="004D53EB">
        <w:t xml:space="preserve"> 2</w:t>
      </w:r>
      <w:r w:rsidR="00477E70" w:rsidRPr="004D53EB">
        <w:t>0, 2024</w:t>
      </w:r>
      <w:r w:rsidR="001C36DD">
        <w:t>).</w:t>
      </w:r>
    </w:p>
  </w:footnote>
  <w:footnote w:id="9">
    <w:p w14:paraId="0A5B2C41" w14:textId="5FA6389E" w:rsidR="00E32813" w:rsidRDefault="00E32813" w:rsidP="001A367B">
      <w:pPr>
        <w:pStyle w:val="Footnote"/>
      </w:pPr>
      <w:r>
        <w:rPr>
          <w:rStyle w:val="FootnoteReference"/>
        </w:rPr>
        <w:footnoteRef/>
      </w:r>
      <w:r>
        <w:t xml:space="preserve">  16 Tex. Admin. Code § 25.231(c)(1)</w:t>
      </w:r>
      <w:r w:rsidR="000D402B">
        <w:t>(A), (C).</w:t>
      </w:r>
    </w:p>
  </w:footnote>
  <w:footnote w:id="10">
    <w:p w14:paraId="2263A1F0" w14:textId="0CDA4577" w:rsidR="00041F4F" w:rsidRDefault="00041F4F" w:rsidP="001A367B">
      <w:pPr>
        <w:pStyle w:val="Footnote"/>
      </w:pPr>
      <w:r>
        <w:rPr>
          <w:rStyle w:val="FootnoteReference"/>
        </w:rPr>
        <w:footnoteRef/>
      </w:r>
      <w:r>
        <w:t xml:space="preserve"> </w:t>
      </w:r>
      <w:r w:rsidR="00611ED0">
        <w:t xml:space="preserve"> </w:t>
      </w:r>
      <w:r>
        <w:t>Moody’s Invs</w:t>
      </w:r>
      <w:r w:rsidR="00991BC5">
        <w:t>.</w:t>
      </w:r>
      <w:r>
        <w:t xml:space="preserve"> Serv</w:t>
      </w:r>
      <w:r w:rsidR="00991BC5">
        <w:t>.</w:t>
      </w:r>
      <w:r w:rsidRPr="001969EF">
        <w:t xml:space="preserve">, </w:t>
      </w:r>
      <w:r w:rsidRPr="006408E4">
        <w:rPr>
          <w:i/>
        </w:rPr>
        <w:t>Oncor Electric Delivery Company LLC</w:t>
      </w:r>
      <w:r w:rsidR="00991BC5" w:rsidRPr="006408E4">
        <w:rPr>
          <w:i/>
        </w:rPr>
        <w:t>:</w:t>
      </w:r>
      <w:r w:rsidRPr="006408E4">
        <w:rPr>
          <w:i/>
        </w:rPr>
        <w:t xml:space="preserve"> Administrative Law Judge’s proposed decision on a pending rate case would be credit negative if implemented</w:t>
      </w:r>
      <w:r w:rsidRPr="001969EF">
        <w:t xml:space="preserve"> </w:t>
      </w:r>
      <w:r w:rsidR="00991BC5">
        <w:t>(</w:t>
      </w:r>
      <w:r>
        <w:t>Jan</w:t>
      </w:r>
      <w:r w:rsidR="00991BC5">
        <w:t>.</w:t>
      </w:r>
      <w:r w:rsidRPr="001969EF">
        <w:t xml:space="preserve"> </w:t>
      </w:r>
      <w:r>
        <w:t>6</w:t>
      </w:r>
      <w:r w:rsidRPr="001969EF">
        <w:t>, 202</w:t>
      </w:r>
      <w:r>
        <w:t>3</w:t>
      </w:r>
      <w:r w:rsidR="00991BC5">
        <w:t>)</w:t>
      </w:r>
      <w:r w:rsidRPr="001969EF">
        <w:t>.</w:t>
      </w:r>
    </w:p>
  </w:footnote>
  <w:footnote w:id="11">
    <w:p w14:paraId="38008FAE" w14:textId="193E04CF" w:rsidR="00997F6C" w:rsidRDefault="00997F6C" w:rsidP="001A367B">
      <w:pPr>
        <w:pStyle w:val="Footnote"/>
      </w:pPr>
      <w:r>
        <w:rPr>
          <w:rStyle w:val="FootnoteReference"/>
        </w:rPr>
        <w:footnoteRef/>
      </w:r>
      <w:r>
        <w:t xml:space="preserve">  </w:t>
      </w:r>
      <w:r w:rsidR="004271BE">
        <w:t>Ms. Story explains that CenterPoint Houston and other members of the CNP consolidated income tax return are expected to pay regular income tax in excess of the CAMT in 2023.  As a result, she concludes that there will be no minimum tax due for the 2023 tax year.</w:t>
      </w:r>
    </w:p>
  </w:footnote>
  <w:footnote w:id="12">
    <w:p w14:paraId="2F12219C" w14:textId="3C839721" w:rsidR="007F4124" w:rsidRDefault="007F4124" w:rsidP="001A367B">
      <w:pPr>
        <w:pStyle w:val="Footnote"/>
      </w:pPr>
      <w:r>
        <w:rPr>
          <w:rStyle w:val="FootnoteReference"/>
        </w:rPr>
        <w:footnoteRef/>
      </w:r>
      <w:r>
        <w:t xml:space="preserve"> </w:t>
      </w:r>
      <w:r w:rsidR="008102B5">
        <w:t xml:space="preserve"> </w:t>
      </w:r>
      <w:r>
        <w:t xml:space="preserve">This example does not </w:t>
      </w:r>
      <w:proofErr w:type="gramStart"/>
      <w:r>
        <w:t>take into account</w:t>
      </w:r>
      <w:proofErr w:type="gramEnd"/>
      <w:r>
        <w:t xml:space="preserve"> any changes to cost of capital or </w:t>
      </w:r>
      <w:r w:rsidR="00076CA6">
        <w:t>Operations and Maintenance expenses</w:t>
      </w:r>
      <w:r w:rsidR="008102B5">
        <w:t>.</w:t>
      </w:r>
    </w:p>
  </w:footnote>
  <w:footnote w:id="13">
    <w:p w14:paraId="2443B68A" w14:textId="6514A7A1" w:rsidR="00F3459A" w:rsidRDefault="00F3459A" w:rsidP="00604209">
      <w:pPr>
        <w:pStyle w:val="FootnoteText"/>
        <w:ind w:firstLine="720"/>
        <w:rPr>
          <w:rFonts w:eastAsia="MS Mincho"/>
        </w:rPr>
      </w:pPr>
      <w:r>
        <w:rPr>
          <w:rStyle w:val="FootnoteReference"/>
        </w:rPr>
        <w:footnoteRef/>
      </w:r>
      <w:r>
        <w:t xml:space="preserve">  </w:t>
      </w:r>
      <w:r w:rsidR="0077106E">
        <w:t>“CFO pre</w:t>
      </w:r>
      <w:r w:rsidR="00926D74">
        <w:t>-</w:t>
      </w:r>
      <w:r w:rsidR="0077106E">
        <w:t xml:space="preserve">W/C” </w:t>
      </w:r>
      <w:r w:rsidR="000F2F87">
        <w:t>means</w:t>
      </w:r>
      <w:r w:rsidR="0077106E">
        <w:t xml:space="preserve"> Cash Flow from Operations </w:t>
      </w:r>
      <w:r w:rsidR="00092A37">
        <w:t>before Changes in Working Capital.</w:t>
      </w:r>
    </w:p>
  </w:footnote>
  <w:footnote w:id="14">
    <w:p w14:paraId="0D6CA0E2" w14:textId="17141920" w:rsidR="00420950" w:rsidRDefault="00420950" w:rsidP="001A367B">
      <w:pPr>
        <w:pStyle w:val="Footnote"/>
      </w:pPr>
      <w:r>
        <w:rPr>
          <w:rStyle w:val="FootnoteReference"/>
        </w:rPr>
        <w:footnoteRef/>
      </w:r>
      <w:r>
        <w:t xml:space="preserve">  This</w:t>
      </w:r>
      <w:r w:rsidR="00B11370">
        <w:t xml:space="preserve"> projected </w:t>
      </w:r>
      <w:r w:rsidR="0052677F">
        <w:t>calculation</w:t>
      </w:r>
      <w:r>
        <w:t xml:space="preserve"> </w:t>
      </w:r>
      <w:r w:rsidR="00F37515">
        <w:t xml:space="preserve">is isolating for </w:t>
      </w:r>
      <w:r w:rsidR="00491EB6">
        <w:t xml:space="preserve">FFO changes </w:t>
      </w:r>
      <w:r w:rsidR="00160E14">
        <w:t>made by revising cap</w:t>
      </w:r>
      <w:r w:rsidR="000D6E32">
        <w:t>ital structure and ROE recommendations</w:t>
      </w:r>
      <w:r w:rsidR="008A3581">
        <w:t xml:space="preserve"> and is not </w:t>
      </w:r>
      <w:r w:rsidR="00B11370">
        <w:t xml:space="preserve">comprehensive for </w:t>
      </w:r>
      <w:r w:rsidR="00F4756C">
        <w:t>other witness recommendations</w:t>
      </w:r>
      <w:r w:rsidR="00E60B2A">
        <w:t>.</w:t>
      </w:r>
    </w:p>
    <w:p w14:paraId="0E1CA02B" w14:textId="1B64B8B3" w:rsidR="00420950" w:rsidRDefault="00420950">
      <w:pPr>
        <w:pStyle w:val="FootnoteText"/>
      </w:pPr>
    </w:p>
  </w:footnote>
  <w:footnote w:id="15">
    <w:p w14:paraId="78F2BDAF" w14:textId="2C1D42F6" w:rsidR="002D6F9F" w:rsidRDefault="002D6F9F" w:rsidP="001A367B">
      <w:pPr>
        <w:pStyle w:val="Footnote"/>
      </w:pPr>
      <w:r>
        <w:rPr>
          <w:rStyle w:val="FootnoteReference"/>
        </w:rPr>
        <w:footnoteRef/>
      </w:r>
      <w:r>
        <w:t xml:space="preserve"> </w:t>
      </w:r>
      <w:r w:rsidR="00E57997">
        <w:t xml:space="preserve"> </w:t>
      </w:r>
      <w:r>
        <w:t>Including amortize</w:t>
      </w:r>
      <w:r w:rsidR="001F7C18">
        <w:t>d</w:t>
      </w:r>
      <w:r>
        <w:t xml:space="preserve"> costs of issuances and </w:t>
      </w:r>
      <w:r w:rsidR="001F7C18">
        <w:t xml:space="preserve">interest rate </w:t>
      </w:r>
      <w:r w:rsidR="00A63D7D">
        <w:t>hedg</w:t>
      </w:r>
      <w:r w:rsidR="001F7C18">
        <w:t>es</w:t>
      </w:r>
      <w:r w:rsidR="00A63D7D">
        <w:t xml:space="preserve"> </w:t>
      </w:r>
      <w:r w:rsidR="001F7C18">
        <w:t>as consistent with prior practice</w:t>
      </w:r>
      <w:r w:rsidR="00643301">
        <w:t>.</w:t>
      </w:r>
    </w:p>
  </w:footnote>
  <w:footnote w:id="16">
    <w:p w14:paraId="2BF3662D" w14:textId="602AE92E" w:rsidR="00195504" w:rsidRDefault="00195504" w:rsidP="001A367B">
      <w:pPr>
        <w:pStyle w:val="Footnote"/>
      </w:pPr>
      <w:r>
        <w:rPr>
          <w:rStyle w:val="FootnoteReference"/>
        </w:rPr>
        <w:footnoteRef/>
      </w:r>
      <w:r>
        <w:t xml:space="preserve">  </w:t>
      </w:r>
      <w:r w:rsidR="0024493C">
        <w:t xml:space="preserve">Docket No. </w:t>
      </w:r>
      <w:r w:rsidR="000804CA">
        <w:t xml:space="preserve">49421, Ordering Paragraph No. </w:t>
      </w:r>
      <w:r w:rsidR="0024493C" w:rsidDel="00BA3F27">
        <w:t>30.</w:t>
      </w:r>
    </w:p>
  </w:footnote>
  <w:footnote w:id="17">
    <w:p w14:paraId="489074EB" w14:textId="57E36DB5" w:rsidR="003B2B9E" w:rsidRDefault="003B2B9E" w:rsidP="003A1CCF">
      <w:pPr>
        <w:pStyle w:val="Footnote"/>
      </w:pPr>
      <w:r>
        <w:rPr>
          <w:rStyle w:val="FootnoteReference"/>
        </w:rPr>
        <w:footnoteRef/>
      </w:r>
      <w:r w:rsidR="003A1CCF">
        <w:t xml:space="preserve"> </w:t>
      </w:r>
      <w:r>
        <w:t xml:space="preserve"> Docket No. 49421, Ordering Paragraph No. 39</w:t>
      </w:r>
      <w:r w:rsidR="003A1CCF">
        <w:t>.</w:t>
      </w:r>
    </w:p>
  </w:footnote>
  <w:footnote w:id="18">
    <w:p w14:paraId="22F9B723" w14:textId="6D1DB37F" w:rsidR="00BA6C71" w:rsidRDefault="00BA6C71" w:rsidP="003A1CCF">
      <w:pPr>
        <w:pStyle w:val="Footnote"/>
      </w:pPr>
      <w:r>
        <w:rPr>
          <w:rStyle w:val="FootnoteReference"/>
        </w:rPr>
        <w:footnoteRef/>
      </w:r>
      <w:r>
        <w:t xml:space="preserve">  </w:t>
      </w:r>
      <w:r w:rsidR="003E41F7" w:rsidRPr="003E41F7">
        <w:t>Docket No. 49494, Finding of Fact No. 38, Ordering Paragraph No. 113</w:t>
      </w:r>
      <w:r w:rsidR="00055B5A">
        <w:t xml:space="preserve">.  </w:t>
      </w:r>
    </w:p>
  </w:footnote>
  <w:footnote w:id="19">
    <w:p w14:paraId="1758FBF3" w14:textId="4D7246B7" w:rsidR="008E7538" w:rsidRDefault="008E7538" w:rsidP="003A1CCF">
      <w:pPr>
        <w:pStyle w:val="Footnote"/>
      </w:pPr>
      <w:r>
        <w:rPr>
          <w:rStyle w:val="FootnoteReference"/>
        </w:rPr>
        <w:footnoteRef/>
      </w:r>
      <w:r>
        <w:t xml:space="preserve"> </w:t>
      </w:r>
      <w:r w:rsidR="00B60F65">
        <w:t xml:space="preserve"> Docket No. 51415, Finding</w:t>
      </w:r>
      <w:r w:rsidR="003078D8">
        <w:t>s</w:t>
      </w:r>
      <w:r w:rsidR="00B60F65">
        <w:t xml:space="preserve"> of Fact No</w:t>
      </w:r>
      <w:r w:rsidR="00EF587A">
        <w:t>s</w:t>
      </w:r>
      <w:r w:rsidR="00B60F65">
        <w:t>.</w:t>
      </w:r>
      <w:r>
        <w:t xml:space="preserve"> </w:t>
      </w:r>
      <w:r w:rsidR="00B60F65">
        <w:t>108a</w:t>
      </w:r>
      <w:r w:rsidR="00EF587A">
        <w:t xml:space="preserve">, </w:t>
      </w:r>
      <w:r w:rsidR="006A379D">
        <w:t>108b</w:t>
      </w:r>
      <w:r w:rsidR="00EC54B2">
        <w:t>, Ordering Paragraph No</w:t>
      </w:r>
      <w:r w:rsidR="007931F3">
        <w:t>.</w:t>
      </w:r>
      <w:r w:rsidR="0039398E">
        <w:t xml:space="preserve"> 4</w:t>
      </w:r>
      <w:r w:rsidR="007931F3">
        <w:t>.</w:t>
      </w:r>
    </w:p>
  </w:footnote>
  <w:footnote w:id="20">
    <w:p w14:paraId="7EB93934" w14:textId="4B976E8B" w:rsidR="003E7FC0" w:rsidRDefault="003E7FC0" w:rsidP="003A1CCF">
      <w:pPr>
        <w:pStyle w:val="Footnote"/>
      </w:pPr>
      <w:r>
        <w:rPr>
          <w:rStyle w:val="FootnoteReference"/>
        </w:rPr>
        <w:footnoteRef/>
      </w:r>
      <w:r>
        <w:t xml:space="preserve"> </w:t>
      </w:r>
      <w:r w:rsidR="003078D8">
        <w:t xml:space="preserve"> Docket No. 53719, Finding of Fact No. 118, Ordering Paragraphs Nos. </w:t>
      </w:r>
      <w:r w:rsidR="00B048C2">
        <w:t>12a</w:t>
      </w:r>
      <w:r w:rsidR="003078D8">
        <w:t>,</w:t>
      </w:r>
      <w:r w:rsidR="00F823BA">
        <w:t xml:space="preserve"> </w:t>
      </w:r>
      <w:r w:rsidR="00B048C2">
        <w:t>12b.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FF4A0" w14:textId="77777777" w:rsidR="00B24865" w:rsidRPr="00724F5A" w:rsidRDefault="00B24865" w:rsidP="006C20A3">
    <w:pPr>
      <w:pStyle w:val="Header"/>
      <w:jc w:val="right"/>
      <w:rPr>
        <w:rFonts w:ascii="Times New Roman Bold" w:hAnsi="Times New Roman Bold"/>
        <w:color w:val="0000CC"/>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4A82" w14:textId="77777777" w:rsidR="00B24865" w:rsidRPr="00CC3D1E" w:rsidRDefault="00B24865" w:rsidP="00C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napToGrid w:val="0"/>
      </w:rPr>
      <w:id w:val="-1682425922"/>
      <w:docPartObj>
        <w:docPartGallery w:val="Page Numbers (Top of Page)"/>
        <w:docPartUnique/>
      </w:docPartObj>
    </w:sdtPr>
    <w:sdtEndPr/>
    <w:sdtContent>
      <w:p w14:paraId="6943E72D" w14:textId="6B260D98" w:rsidR="00B24865" w:rsidRPr="0062344C" w:rsidRDefault="007578CB" w:rsidP="00CC3D1E">
        <w:pPr>
          <w:widowControl w:val="0"/>
          <w:tabs>
            <w:tab w:val="center" w:pos="4320"/>
            <w:tab w:val="right" w:pos="8640"/>
          </w:tabs>
          <w:jc w:val="right"/>
          <w:rPr>
            <w:snapToGrid w:val="0"/>
          </w:rPr>
        </w:pPr>
        <w:r>
          <w:rPr>
            <w:snapToGrid w:val="0"/>
          </w:rPr>
          <w:t>ES-</w:t>
        </w:r>
        <w:r w:rsidRPr="007578CB">
          <w:rPr>
            <w:snapToGrid w:val="0"/>
          </w:rPr>
          <w:fldChar w:fldCharType="begin"/>
        </w:r>
        <w:r w:rsidRPr="007578CB">
          <w:rPr>
            <w:snapToGrid w:val="0"/>
          </w:rPr>
          <w:instrText xml:space="preserve"> PAGE   \* MERGEFORMAT </w:instrText>
        </w:r>
        <w:r w:rsidRPr="007578CB">
          <w:rPr>
            <w:snapToGrid w:val="0"/>
          </w:rPr>
          <w:fldChar w:fldCharType="separate"/>
        </w:r>
        <w:r w:rsidRPr="007578CB">
          <w:rPr>
            <w:noProof/>
            <w:snapToGrid w:val="0"/>
          </w:rPr>
          <w:t>1</w:t>
        </w:r>
        <w:r w:rsidRPr="007578CB">
          <w:rPr>
            <w:noProof/>
            <w:snapToGrid w:val="0"/>
          </w:rPr>
          <w:fldChar w:fldCharType="end"/>
        </w:r>
      </w:p>
    </w:sdtContent>
  </w:sdt>
  <w:p w14:paraId="6D088EB9" w14:textId="77777777" w:rsidR="00B24865" w:rsidRPr="00724F5A" w:rsidRDefault="00B24865" w:rsidP="00724F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napToGrid w:val="0"/>
      </w:rPr>
      <w:id w:val="1072233263"/>
      <w:docPartObj>
        <w:docPartGallery w:val="Page Numbers (Top of Page)"/>
        <w:docPartUnique/>
      </w:docPartObj>
    </w:sdtPr>
    <w:sdtEndPr/>
    <w:sdtContent>
      <w:p w14:paraId="5E009914" w14:textId="496F5D72" w:rsidR="007578CB" w:rsidRPr="005027A0" w:rsidRDefault="007578CB" w:rsidP="00CC3D1E">
        <w:pPr>
          <w:widowControl w:val="0"/>
          <w:tabs>
            <w:tab w:val="center" w:pos="4320"/>
            <w:tab w:val="right" w:pos="8640"/>
          </w:tabs>
          <w:jc w:val="right"/>
          <w:rPr>
            <w:snapToGrid w:val="0"/>
          </w:rPr>
        </w:pPr>
        <w:r w:rsidRPr="005027A0">
          <w:rPr>
            <w:snapToGrid w:val="0"/>
          </w:rPr>
          <w:t xml:space="preserve">Page </w:t>
        </w:r>
        <w:r w:rsidRPr="005027A0">
          <w:rPr>
            <w:snapToGrid w:val="0"/>
          </w:rPr>
          <w:fldChar w:fldCharType="begin"/>
        </w:r>
        <w:r w:rsidRPr="005027A0">
          <w:rPr>
            <w:snapToGrid w:val="0"/>
          </w:rPr>
          <w:instrText xml:space="preserve"> PAGE  \* Arabic  \* MERGEFORMAT </w:instrText>
        </w:r>
        <w:r w:rsidRPr="005027A0">
          <w:rPr>
            <w:snapToGrid w:val="0"/>
          </w:rPr>
          <w:fldChar w:fldCharType="separate"/>
        </w:r>
        <w:r w:rsidRPr="005027A0">
          <w:rPr>
            <w:noProof/>
            <w:snapToGrid w:val="0"/>
          </w:rPr>
          <w:t>1</w:t>
        </w:r>
        <w:r w:rsidRPr="005027A0">
          <w:rPr>
            <w:snapToGrid w:val="0"/>
          </w:rPr>
          <w:fldChar w:fldCharType="end"/>
        </w:r>
        <w:r w:rsidRPr="005027A0">
          <w:rPr>
            <w:snapToGrid w:val="0"/>
          </w:rPr>
          <w:t xml:space="preserve"> of 3</w:t>
        </w:r>
        <w:r w:rsidR="002F56B5" w:rsidRPr="005027A0">
          <w:rPr>
            <w:snapToGrid w:val="0"/>
          </w:rPr>
          <w:t>6</w:t>
        </w:r>
      </w:p>
    </w:sdtContent>
  </w:sdt>
  <w:p w14:paraId="57FD8F12" w14:textId="77777777" w:rsidR="007578CB" w:rsidRPr="00724F5A" w:rsidRDefault="007578CB" w:rsidP="00724F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28F02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5895E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482AB4"/>
    <w:name w:val="List Number 3"/>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2B6ADA2"/>
    <w:name w:val="List Number 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F80FF6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59E55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84A2B40"/>
    <w:name w:val="List Bullet 3"/>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7226BE"/>
    <w:name w:val="List Bullet 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53EF12A"/>
    <w:name w:val="List Number"/>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4507782"/>
    <w:name w:val="List Bullet"/>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05673FA"/>
    <w:multiLevelType w:val="hybridMultilevel"/>
    <w:tmpl w:val="16201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D0374F"/>
    <w:multiLevelType w:val="singleLevel"/>
    <w:tmpl w:val="432C4576"/>
    <w:lvl w:ilvl="0">
      <w:start w:val="1"/>
      <w:numFmt w:val="bullet"/>
      <w:lvlText w:val=""/>
      <w:lvlJc w:val="left"/>
      <w:pPr>
        <w:tabs>
          <w:tab w:val="num" w:pos="1224"/>
        </w:tabs>
        <w:ind w:left="1224" w:hanging="360"/>
      </w:pPr>
      <w:rPr>
        <w:rFonts w:ascii="Symbol" w:hAnsi="Symbol" w:hint="default"/>
        <w:b w:val="0"/>
        <w:i w:val="0"/>
        <w:sz w:val="24"/>
      </w:rPr>
    </w:lvl>
  </w:abstractNum>
  <w:abstractNum w:abstractNumId="12" w15:restartNumberingAfterBreak="0">
    <w:nsid w:val="14604B9D"/>
    <w:multiLevelType w:val="hybridMultilevel"/>
    <w:tmpl w:val="F8149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F43DC"/>
    <w:multiLevelType w:val="multilevel"/>
    <w:tmpl w:val="34FC36E8"/>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1CDE2F86"/>
    <w:multiLevelType w:val="singleLevel"/>
    <w:tmpl w:val="009836DE"/>
    <w:lvl w:ilvl="0">
      <w:start w:val="1"/>
      <w:numFmt w:val="none"/>
      <w:lvlText w:val="%1A."/>
      <w:lvlJc w:val="left"/>
      <w:pPr>
        <w:tabs>
          <w:tab w:val="num" w:pos="720"/>
        </w:tabs>
        <w:ind w:left="720" w:hanging="720"/>
      </w:pPr>
      <w:rPr>
        <w:b w:val="0"/>
        <w:i w:val="0"/>
      </w:rPr>
    </w:lvl>
  </w:abstractNum>
  <w:abstractNum w:abstractNumId="15" w15:restartNumberingAfterBreak="0">
    <w:nsid w:val="1ED76280"/>
    <w:multiLevelType w:val="hybridMultilevel"/>
    <w:tmpl w:val="A2786784"/>
    <w:lvl w:ilvl="0" w:tplc="04090015">
      <w:start w:val="1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F9C52E9"/>
    <w:multiLevelType w:val="hybridMultilevel"/>
    <w:tmpl w:val="10B4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F31F8F"/>
    <w:multiLevelType w:val="singleLevel"/>
    <w:tmpl w:val="2BB8BBB8"/>
    <w:name w:val="Heading 6"/>
    <w:lvl w:ilvl="0">
      <w:start w:val="17"/>
      <w:numFmt w:val="upperLetter"/>
      <w:pStyle w:val="Heading6"/>
      <w:lvlText w:val="%1."/>
      <w:lvlJc w:val="left"/>
      <w:pPr>
        <w:tabs>
          <w:tab w:val="num" w:pos="540"/>
        </w:tabs>
        <w:ind w:left="540" w:hanging="540"/>
      </w:pPr>
      <w:rPr>
        <w:rFonts w:hint="default"/>
      </w:rPr>
    </w:lvl>
  </w:abstractNum>
  <w:abstractNum w:abstractNumId="18" w15:restartNumberingAfterBreak="0">
    <w:nsid w:val="233443B9"/>
    <w:multiLevelType w:val="hybridMultilevel"/>
    <w:tmpl w:val="3E58082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B242CF3"/>
    <w:multiLevelType w:val="hybridMultilevel"/>
    <w:tmpl w:val="45CABE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2576447"/>
    <w:multiLevelType w:val="hybridMultilevel"/>
    <w:tmpl w:val="7F14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B20BF2"/>
    <w:multiLevelType w:val="hybridMultilevel"/>
    <w:tmpl w:val="20E2CA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E10427"/>
    <w:multiLevelType w:val="multilevel"/>
    <w:tmpl w:val="2E7497BA"/>
    <w:lvl w:ilvl="0">
      <w:start w:val="1"/>
      <w:numFmt w:val="upperRoman"/>
      <w:pStyle w:val="CROutline1"/>
      <w:lvlText w:val="%1."/>
      <w:lvlJc w:val="left"/>
      <w:pPr>
        <w:tabs>
          <w:tab w:val="num" w:pos="2250"/>
        </w:tabs>
        <w:ind w:left="2250"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cs="Times New Roman"/>
        <w:b/>
        <w:bCs/>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CROutline3"/>
      <w:lvlText w:val="%3."/>
      <w:lvlJc w:val="left"/>
      <w:pPr>
        <w:tabs>
          <w:tab w:val="num" w:pos="1152"/>
        </w:tabs>
        <w:ind w:left="2592" w:hanging="720"/>
      </w:pPr>
      <w:rPr>
        <w:rFonts w:cs="Times New Roman"/>
        <w:bCs w:val="0"/>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23" w15:restartNumberingAfterBreak="0">
    <w:nsid w:val="406052A8"/>
    <w:multiLevelType w:val="hybridMultilevel"/>
    <w:tmpl w:val="695C76EC"/>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4" w15:restartNumberingAfterBreak="0">
    <w:nsid w:val="463B003B"/>
    <w:multiLevelType w:val="hybridMultilevel"/>
    <w:tmpl w:val="222C67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AA13EED"/>
    <w:multiLevelType w:val="singleLevel"/>
    <w:tmpl w:val="432C4576"/>
    <w:lvl w:ilvl="0">
      <w:start w:val="1"/>
      <w:numFmt w:val="bullet"/>
      <w:lvlText w:val=""/>
      <w:lvlJc w:val="left"/>
      <w:pPr>
        <w:tabs>
          <w:tab w:val="num" w:pos="1224"/>
        </w:tabs>
        <w:ind w:left="1224" w:hanging="360"/>
      </w:pPr>
      <w:rPr>
        <w:rFonts w:ascii="Symbol" w:hAnsi="Symbol" w:hint="default"/>
        <w:b w:val="0"/>
        <w:i w:val="0"/>
        <w:sz w:val="24"/>
      </w:rPr>
    </w:lvl>
  </w:abstractNum>
  <w:abstractNum w:abstractNumId="26" w15:restartNumberingAfterBreak="0">
    <w:nsid w:val="4B885803"/>
    <w:multiLevelType w:val="hybridMultilevel"/>
    <w:tmpl w:val="9418D7DC"/>
    <w:lvl w:ilvl="0" w:tplc="424A7100">
      <w:start w:val="1"/>
      <w:numFmt w:val="bullet"/>
      <w:lvlText w:val=""/>
      <w:lvlJc w:val="left"/>
      <w:pPr>
        <w:tabs>
          <w:tab w:val="num" w:pos="1094"/>
        </w:tabs>
        <w:ind w:left="1094" w:hanging="360"/>
      </w:pPr>
      <w:rPr>
        <w:rFonts w:ascii="Symbol" w:hAnsi="Symbol" w:hint="default"/>
      </w:rPr>
    </w:lvl>
    <w:lvl w:ilvl="1" w:tplc="04090003" w:tentative="1">
      <w:start w:val="1"/>
      <w:numFmt w:val="bullet"/>
      <w:lvlText w:val="o"/>
      <w:lvlJc w:val="left"/>
      <w:pPr>
        <w:tabs>
          <w:tab w:val="num" w:pos="1814"/>
        </w:tabs>
        <w:ind w:left="1814" w:hanging="360"/>
      </w:pPr>
      <w:rPr>
        <w:rFonts w:ascii="Courier New" w:hAnsi="Courier New" w:cs="Courier New" w:hint="default"/>
      </w:rPr>
    </w:lvl>
    <w:lvl w:ilvl="2" w:tplc="04090005" w:tentative="1">
      <w:start w:val="1"/>
      <w:numFmt w:val="bullet"/>
      <w:lvlText w:val=""/>
      <w:lvlJc w:val="left"/>
      <w:pPr>
        <w:tabs>
          <w:tab w:val="num" w:pos="2534"/>
        </w:tabs>
        <w:ind w:left="2534" w:hanging="360"/>
      </w:pPr>
      <w:rPr>
        <w:rFonts w:ascii="Wingdings" w:hAnsi="Wingdings" w:hint="default"/>
      </w:rPr>
    </w:lvl>
    <w:lvl w:ilvl="3" w:tplc="04090001" w:tentative="1">
      <w:start w:val="1"/>
      <w:numFmt w:val="bullet"/>
      <w:lvlText w:val=""/>
      <w:lvlJc w:val="left"/>
      <w:pPr>
        <w:tabs>
          <w:tab w:val="num" w:pos="3254"/>
        </w:tabs>
        <w:ind w:left="3254" w:hanging="360"/>
      </w:pPr>
      <w:rPr>
        <w:rFonts w:ascii="Symbol" w:hAnsi="Symbol" w:hint="default"/>
      </w:rPr>
    </w:lvl>
    <w:lvl w:ilvl="4" w:tplc="04090003" w:tentative="1">
      <w:start w:val="1"/>
      <w:numFmt w:val="bullet"/>
      <w:lvlText w:val="o"/>
      <w:lvlJc w:val="left"/>
      <w:pPr>
        <w:tabs>
          <w:tab w:val="num" w:pos="3974"/>
        </w:tabs>
        <w:ind w:left="3974" w:hanging="360"/>
      </w:pPr>
      <w:rPr>
        <w:rFonts w:ascii="Courier New" w:hAnsi="Courier New" w:cs="Courier New" w:hint="default"/>
      </w:rPr>
    </w:lvl>
    <w:lvl w:ilvl="5" w:tplc="04090005" w:tentative="1">
      <w:start w:val="1"/>
      <w:numFmt w:val="bullet"/>
      <w:lvlText w:val=""/>
      <w:lvlJc w:val="left"/>
      <w:pPr>
        <w:tabs>
          <w:tab w:val="num" w:pos="4694"/>
        </w:tabs>
        <w:ind w:left="4694" w:hanging="360"/>
      </w:pPr>
      <w:rPr>
        <w:rFonts w:ascii="Wingdings" w:hAnsi="Wingdings" w:hint="default"/>
      </w:rPr>
    </w:lvl>
    <w:lvl w:ilvl="6" w:tplc="04090001" w:tentative="1">
      <w:start w:val="1"/>
      <w:numFmt w:val="bullet"/>
      <w:lvlText w:val=""/>
      <w:lvlJc w:val="left"/>
      <w:pPr>
        <w:tabs>
          <w:tab w:val="num" w:pos="5414"/>
        </w:tabs>
        <w:ind w:left="5414" w:hanging="360"/>
      </w:pPr>
      <w:rPr>
        <w:rFonts w:ascii="Symbol" w:hAnsi="Symbol" w:hint="default"/>
      </w:rPr>
    </w:lvl>
    <w:lvl w:ilvl="7" w:tplc="04090003" w:tentative="1">
      <w:start w:val="1"/>
      <w:numFmt w:val="bullet"/>
      <w:lvlText w:val="o"/>
      <w:lvlJc w:val="left"/>
      <w:pPr>
        <w:tabs>
          <w:tab w:val="num" w:pos="6134"/>
        </w:tabs>
        <w:ind w:left="6134" w:hanging="360"/>
      </w:pPr>
      <w:rPr>
        <w:rFonts w:ascii="Courier New" w:hAnsi="Courier New" w:cs="Courier New" w:hint="default"/>
      </w:rPr>
    </w:lvl>
    <w:lvl w:ilvl="8" w:tplc="04090005" w:tentative="1">
      <w:start w:val="1"/>
      <w:numFmt w:val="bullet"/>
      <w:lvlText w:val=""/>
      <w:lvlJc w:val="left"/>
      <w:pPr>
        <w:tabs>
          <w:tab w:val="num" w:pos="6854"/>
        </w:tabs>
        <w:ind w:left="6854" w:hanging="360"/>
      </w:pPr>
      <w:rPr>
        <w:rFonts w:ascii="Wingdings" w:hAnsi="Wingdings" w:hint="default"/>
      </w:rPr>
    </w:lvl>
  </w:abstractNum>
  <w:abstractNum w:abstractNumId="27" w15:restartNumberingAfterBreak="0">
    <w:nsid w:val="521E0324"/>
    <w:multiLevelType w:val="hybridMultilevel"/>
    <w:tmpl w:val="7A3E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B119FC"/>
    <w:multiLevelType w:val="singleLevel"/>
    <w:tmpl w:val="A27A8A42"/>
    <w:lvl w:ilvl="0">
      <w:start w:val="1"/>
      <w:numFmt w:val="none"/>
      <w:lvlText w:val="Q."/>
      <w:lvlJc w:val="left"/>
      <w:pPr>
        <w:tabs>
          <w:tab w:val="num" w:pos="720"/>
        </w:tabs>
        <w:ind w:left="720" w:hanging="720"/>
      </w:pPr>
      <w:rPr>
        <w:b/>
        <w:i w:val="0"/>
      </w:rPr>
    </w:lvl>
  </w:abstractNum>
  <w:abstractNum w:abstractNumId="29" w15:restartNumberingAfterBreak="0">
    <w:nsid w:val="5EB503C5"/>
    <w:multiLevelType w:val="singleLevel"/>
    <w:tmpl w:val="009836DE"/>
    <w:lvl w:ilvl="0">
      <w:start w:val="1"/>
      <w:numFmt w:val="none"/>
      <w:lvlText w:val="%1A."/>
      <w:lvlJc w:val="left"/>
      <w:pPr>
        <w:tabs>
          <w:tab w:val="num" w:pos="720"/>
        </w:tabs>
        <w:ind w:left="720" w:hanging="720"/>
      </w:pPr>
      <w:rPr>
        <w:b w:val="0"/>
        <w:i w:val="0"/>
      </w:rPr>
    </w:lvl>
  </w:abstractNum>
  <w:abstractNum w:abstractNumId="30" w15:restartNumberingAfterBreak="0">
    <w:nsid w:val="710F27FC"/>
    <w:multiLevelType w:val="hybridMultilevel"/>
    <w:tmpl w:val="74C4E44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39F5B73"/>
    <w:multiLevelType w:val="multilevel"/>
    <w:tmpl w:val="2DBAAD54"/>
    <w:lvl w:ilvl="0">
      <w:numFmt w:val="none"/>
      <w:lvlText w:val="A."/>
      <w:lvlJc w:val="left"/>
      <w:pPr>
        <w:tabs>
          <w:tab w:val="num" w:pos="660"/>
        </w:tabs>
        <w:ind w:left="660" w:hanging="660"/>
      </w:pPr>
      <w:rPr>
        <w:b w:val="0"/>
        <w:i w:val="0"/>
        <w:sz w:val="24"/>
      </w:rPr>
    </w:lvl>
    <w:lvl w:ilvl="1">
      <w:start w:val="1"/>
      <w:numFmt w:val="none"/>
      <w:lvlText w:val="%1.0%2"/>
      <w:lvlJc w:val="left"/>
      <w:pPr>
        <w:tabs>
          <w:tab w:val="num" w:pos="1680"/>
        </w:tabs>
        <w:ind w:left="1680" w:hanging="66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780"/>
        </w:tabs>
        <w:ind w:left="3780" w:hanging="720"/>
      </w:pPr>
      <w:rPr>
        <w:rFonts w:hint="default"/>
      </w:rPr>
    </w:lvl>
    <w:lvl w:ilvl="4">
      <w:start w:val="1"/>
      <w:numFmt w:val="decimal"/>
      <w:lvlText w:val="%1.%2.%3.%4.%5"/>
      <w:lvlJc w:val="left"/>
      <w:pPr>
        <w:tabs>
          <w:tab w:val="num" w:pos="5160"/>
        </w:tabs>
        <w:ind w:left="5160" w:hanging="1080"/>
      </w:pPr>
      <w:rPr>
        <w:rFonts w:hint="default"/>
      </w:rPr>
    </w:lvl>
    <w:lvl w:ilvl="5">
      <w:start w:val="1"/>
      <w:numFmt w:val="decimal"/>
      <w:lvlText w:val="%1.%2.%3.%4.%5.%6"/>
      <w:lvlJc w:val="left"/>
      <w:pPr>
        <w:tabs>
          <w:tab w:val="num" w:pos="6180"/>
        </w:tabs>
        <w:ind w:left="6180" w:hanging="1080"/>
      </w:pPr>
      <w:rPr>
        <w:rFonts w:hint="default"/>
      </w:rPr>
    </w:lvl>
    <w:lvl w:ilvl="6">
      <w:start w:val="1"/>
      <w:numFmt w:val="decimal"/>
      <w:lvlText w:val="%1.%2.%3.%4.%5.%6.%7"/>
      <w:lvlJc w:val="left"/>
      <w:pPr>
        <w:tabs>
          <w:tab w:val="num" w:pos="7560"/>
        </w:tabs>
        <w:ind w:left="7560" w:hanging="1440"/>
      </w:pPr>
      <w:rPr>
        <w:rFonts w:hint="default"/>
      </w:rPr>
    </w:lvl>
    <w:lvl w:ilvl="7">
      <w:start w:val="1"/>
      <w:numFmt w:val="decimal"/>
      <w:lvlText w:val="%1.%2.%3.%4.%5.%6.%7.%8"/>
      <w:lvlJc w:val="left"/>
      <w:pPr>
        <w:tabs>
          <w:tab w:val="num" w:pos="8580"/>
        </w:tabs>
        <w:ind w:left="8580" w:hanging="1440"/>
      </w:pPr>
      <w:rPr>
        <w:rFonts w:hint="default"/>
      </w:rPr>
    </w:lvl>
    <w:lvl w:ilvl="8">
      <w:start w:val="1"/>
      <w:numFmt w:val="decimal"/>
      <w:lvlText w:val="%1.%2.%3.%4.%5.%6.%7.%8.%9"/>
      <w:lvlJc w:val="left"/>
      <w:pPr>
        <w:tabs>
          <w:tab w:val="num" w:pos="9960"/>
        </w:tabs>
        <w:ind w:left="9960" w:hanging="1800"/>
      </w:pPr>
      <w:rPr>
        <w:rFonts w:hint="default"/>
      </w:rPr>
    </w:lvl>
  </w:abstractNum>
  <w:abstractNum w:abstractNumId="32" w15:restartNumberingAfterBreak="0">
    <w:nsid w:val="7590721C"/>
    <w:multiLevelType w:val="singleLevel"/>
    <w:tmpl w:val="8AC6510A"/>
    <w:lvl w:ilvl="0">
      <w:start w:val="1"/>
      <w:numFmt w:val="upperLetter"/>
      <w:lvlText w:val="%1."/>
      <w:lvlJc w:val="left"/>
      <w:pPr>
        <w:tabs>
          <w:tab w:val="num" w:pos="720"/>
        </w:tabs>
        <w:ind w:left="720" w:hanging="720"/>
      </w:pPr>
      <w:rPr>
        <w:rFonts w:hint="default"/>
      </w:rPr>
    </w:lvl>
  </w:abstractNum>
  <w:abstractNum w:abstractNumId="33" w15:restartNumberingAfterBreak="0">
    <w:nsid w:val="798D6844"/>
    <w:multiLevelType w:val="hybridMultilevel"/>
    <w:tmpl w:val="F8BC0FB4"/>
    <w:lvl w:ilvl="0" w:tplc="550AED1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A76AE8"/>
    <w:multiLevelType w:val="hybridMultilevel"/>
    <w:tmpl w:val="049C4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E101174"/>
    <w:multiLevelType w:val="multilevel"/>
    <w:tmpl w:val="08223976"/>
    <w:lvl w:ilvl="0">
      <w:start w:val="1"/>
      <w:numFmt w:val="none"/>
      <w:lvlText w:val="Q."/>
      <w:lvlJc w:val="left"/>
      <w:pPr>
        <w:tabs>
          <w:tab w:val="num" w:pos="720"/>
        </w:tabs>
        <w:ind w:left="720" w:hanging="720"/>
      </w:pPr>
      <w:rPr>
        <w:b/>
        <w:i w:val="0"/>
        <w:sz w:val="24"/>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6" w15:restartNumberingAfterBreak="0">
    <w:nsid w:val="7F0A09DA"/>
    <w:multiLevelType w:val="hybridMultilevel"/>
    <w:tmpl w:val="3BC2DEE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81470465">
    <w:abstractNumId w:val="17"/>
  </w:num>
  <w:num w:numId="2" w16cid:durableId="2062365934">
    <w:abstractNumId w:val="32"/>
  </w:num>
  <w:num w:numId="3" w16cid:durableId="1676614118">
    <w:abstractNumId w:val="25"/>
  </w:num>
  <w:num w:numId="4" w16cid:durableId="1939487803">
    <w:abstractNumId w:val="35"/>
  </w:num>
  <w:num w:numId="5" w16cid:durableId="2089157607">
    <w:abstractNumId w:val="31"/>
  </w:num>
  <w:num w:numId="6" w16cid:durableId="157965541">
    <w:abstractNumId w:val="11"/>
  </w:num>
  <w:num w:numId="7" w16cid:durableId="898980086">
    <w:abstractNumId w:val="28"/>
  </w:num>
  <w:num w:numId="8" w16cid:durableId="1232429787">
    <w:abstractNumId w:val="14"/>
  </w:num>
  <w:num w:numId="9" w16cid:durableId="703023702">
    <w:abstractNumId w:val="29"/>
  </w:num>
  <w:num w:numId="10" w16cid:durableId="396782234">
    <w:abstractNumId w:val="15"/>
  </w:num>
  <w:num w:numId="11" w16cid:durableId="1145439419">
    <w:abstractNumId w:val="30"/>
  </w:num>
  <w:num w:numId="12" w16cid:durableId="1495606722">
    <w:abstractNumId w:val="36"/>
  </w:num>
  <w:num w:numId="13" w16cid:durableId="1167402389">
    <w:abstractNumId w:val="21"/>
  </w:num>
  <w:num w:numId="14" w16cid:durableId="918052553">
    <w:abstractNumId w:val="19"/>
  </w:num>
  <w:num w:numId="15" w16cid:durableId="764157288">
    <w:abstractNumId w:val="16"/>
  </w:num>
  <w:num w:numId="16" w16cid:durableId="654603977">
    <w:abstractNumId w:val="18"/>
  </w:num>
  <w:num w:numId="17" w16cid:durableId="1674605441">
    <w:abstractNumId w:val="10"/>
  </w:num>
  <w:num w:numId="18" w16cid:durableId="789054878">
    <w:abstractNumId w:val="13"/>
  </w:num>
  <w:num w:numId="19" w16cid:durableId="936598020">
    <w:abstractNumId w:val="26"/>
  </w:num>
  <w:num w:numId="20" w16cid:durableId="1192189196">
    <w:abstractNumId w:val="9"/>
  </w:num>
  <w:num w:numId="21" w16cid:durableId="1308784630">
    <w:abstractNumId w:val="8"/>
    <w:lvlOverride w:ilvl="0">
      <w:startOverride w:val="1"/>
    </w:lvlOverride>
  </w:num>
  <w:num w:numId="22" w16cid:durableId="1816951122">
    <w:abstractNumId w:val="7"/>
  </w:num>
  <w:num w:numId="23" w16cid:durableId="1059324454">
    <w:abstractNumId w:val="6"/>
  </w:num>
  <w:num w:numId="24" w16cid:durableId="584461279">
    <w:abstractNumId w:val="3"/>
    <w:lvlOverride w:ilvl="0">
      <w:startOverride w:val="1"/>
    </w:lvlOverride>
  </w:num>
  <w:num w:numId="25" w16cid:durableId="360473296">
    <w:abstractNumId w:val="2"/>
    <w:lvlOverride w:ilvl="0">
      <w:startOverride w:val="1"/>
    </w:lvlOverride>
  </w:num>
  <w:num w:numId="26" w16cid:durableId="1584291174">
    <w:abstractNumId w:val="20"/>
  </w:num>
  <w:num w:numId="27" w16cid:durableId="1627853573">
    <w:abstractNumId w:val="27"/>
  </w:num>
  <w:num w:numId="28" w16cid:durableId="218322499">
    <w:abstractNumId w:val="12"/>
  </w:num>
  <w:num w:numId="29" w16cid:durableId="2065830843">
    <w:abstractNumId w:val="24"/>
  </w:num>
  <w:num w:numId="30" w16cid:durableId="967200599">
    <w:abstractNumId w:val="23"/>
  </w:num>
  <w:num w:numId="31" w16cid:durableId="845170885">
    <w:abstractNumId w:val="22"/>
  </w:num>
  <w:num w:numId="32" w16cid:durableId="1809467476">
    <w:abstractNumId w:val="5"/>
  </w:num>
  <w:num w:numId="33" w16cid:durableId="566573963">
    <w:abstractNumId w:val="4"/>
  </w:num>
  <w:num w:numId="34" w16cid:durableId="227888388">
    <w:abstractNumId w:val="1"/>
  </w:num>
  <w:num w:numId="35" w16cid:durableId="933585863">
    <w:abstractNumId w:val="0"/>
  </w:num>
  <w:num w:numId="36" w16cid:durableId="852690292">
    <w:abstractNumId w:val="34"/>
  </w:num>
  <w:num w:numId="37" w16cid:durableId="986202817">
    <w:abstractNumId w:val="33"/>
  </w:num>
  <w:num w:numId="38" w16cid:durableId="2052341000">
    <w:abstractNumId w:val="22"/>
  </w:num>
  <w:num w:numId="39" w16cid:durableId="314719573">
    <w:abstractNumId w:val="22"/>
  </w:num>
  <w:num w:numId="40" w16cid:durableId="1862665785">
    <w:abstractNumId w:val="22"/>
  </w:num>
  <w:num w:numId="41" w16cid:durableId="1655177922">
    <w:abstractNumId w:val="22"/>
  </w:num>
  <w:num w:numId="42" w16cid:durableId="399406254">
    <w:abstractNumId w:val="22"/>
  </w:num>
  <w:num w:numId="43" w16cid:durableId="2092772010">
    <w:abstractNumId w:val="22"/>
  </w:num>
  <w:num w:numId="44" w16cid:durableId="1906182564">
    <w:abstractNumId w:val="22"/>
  </w:num>
  <w:num w:numId="45" w16cid:durableId="2058384506">
    <w:abstractNumId w:val="28"/>
    <w:lvlOverride w:ilvl="0">
      <w:startOverride w:val="1"/>
    </w:lvlOverride>
  </w:num>
  <w:num w:numId="46" w16cid:durableId="1757746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embedSystemFonts/>
  <w:proofState w:spelling="clean" w:grammar="clean"/>
  <w:stylePaneFormatFilter w:val="3824" w:allStyles="0" w:customStyles="0" w:latentStyles="1" w:stylesInUse="0" w:headingStyles="1"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81F"/>
    <w:rsid w:val="00000441"/>
    <w:rsid w:val="000005A2"/>
    <w:rsid w:val="000009A1"/>
    <w:rsid w:val="0000104E"/>
    <w:rsid w:val="0000129E"/>
    <w:rsid w:val="00002CE6"/>
    <w:rsid w:val="00003A51"/>
    <w:rsid w:val="00003B55"/>
    <w:rsid w:val="00003E96"/>
    <w:rsid w:val="00003EC5"/>
    <w:rsid w:val="000041BE"/>
    <w:rsid w:val="000048BA"/>
    <w:rsid w:val="00005344"/>
    <w:rsid w:val="00005970"/>
    <w:rsid w:val="00005A34"/>
    <w:rsid w:val="00005B6F"/>
    <w:rsid w:val="000060BE"/>
    <w:rsid w:val="000060E3"/>
    <w:rsid w:val="0000640D"/>
    <w:rsid w:val="00006876"/>
    <w:rsid w:val="00006F2B"/>
    <w:rsid w:val="00007848"/>
    <w:rsid w:val="00010942"/>
    <w:rsid w:val="0001134D"/>
    <w:rsid w:val="000113B5"/>
    <w:rsid w:val="00011B86"/>
    <w:rsid w:val="00011FB1"/>
    <w:rsid w:val="000122D4"/>
    <w:rsid w:val="0001244A"/>
    <w:rsid w:val="00012CAD"/>
    <w:rsid w:val="00012CD6"/>
    <w:rsid w:val="0001356D"/>
    <w:rsid w:val="000136F8"/>
    <w:rsid w:val="00013897"/>
    <w:rsid w:val="00013A43"/>
    <w:rsid w:val="00013DDA"/>
    <w:rsid w:val="00014073"/>
    <w:rsid w:val="000144C8"/>
    <w:rsid w:val="000146CF"/>
    <w:rsid w:val="000147DD"/>
    <w:rsid w:val="00014960"/>
    <w:rsid w:val="00014987"/>
    <w:rsid w:val="00015617"/>
    <w:rsid w:val="00015CD9"/>
    <w:rsid w:val="00016D3F"/>
    <w:rsid w:val="00020272"/>
    <w:rsid w:val="00020917"/>
    <w:rsid w:val="000214E3"/>
    <w:rsid w:val="000217C7"/>
    <w:rsid w:val="00021C32"/>
    <w:rsid w:val="00021DB1"/>
    <w:rsid w:val="00021FA0"/>
    <w:rsid w:val="00022137"/>
    <w:rsid w:val="0002319F"/>
    <w:rsid w:val="00023447"/>
    <w:rsid w:val="00023FA6"/>
    <w:rsid w:val="000242AF"/>
    <w:rsid w:val="000245D2"/>
    <w:rsid w:val="00024B77"/>
    <w:rsid w:val="00024D84"/>
    <w:rsid w:val="00025240"/>
    <w:rsid w:val="0002589C"/>
    <w:rsid w:val="00025FD4"/>
    <w:rsid w:val="00026721"/>
    <w:rsid w:val="00026868"/>
    <w:rsid w:val="00026B6D"/>
    <w:rsid w:val="00026EFD"/>
    <w:rsid w:val="00027702"/>
    <w:rsid w:val="0003039E"/>
    <w:rsid w:val="0003043F"/>
    <w:rsid w:val="000308A2"/>
    <w:rsid w:val="00030F56"/>
    <w:rsid w:val="0003129A"/>
    <w:rsid w:val="00031520"/>
    <w:rsid w:val="0003155D"/>
    <w:rsid w:val="00031602"/>
    <w:rsid w:val="00031994"/>
    <w:rsid w:val="00031A28"/>
    <w:rsid w:val="00031AFE"/>
    <w:rsid w:val="00032589"/>
    <w:rsid w:val="00032A52"/>
    <w:rsid w:val="00032A8F"/>
    <w:rsid w:val="00032FAC"/>
    <w:rsid w:val="000330D8"/>
    <w:rsid w:val="000332EA"/>
    <w:rsid w:val="000334DB"/>
    <w:rsid w:val="00033A39"/>
    <w:rsid w:val="00033D39"/>
    <w:rsid w:val="00033FEB"/>
    <w:rsid w:val="00034435"/>
    <w:rsid w:val="000345B1"/>
    <w:rsid w:val="00034796"/>
    <w:rsid w:val="00034916"/>
    <w:rsid w:val="00034B78"/>
    <w:rsid w:val="00034D84"/>
    <w:rsid w:val="000355B3"/>
    <w:rsid w:val="00035822"/>
    <w:rsid w:val="0003597F"/>
    <w:rsid w:val="00036118"/>
    <w:rsid w:val="00036257"/>
    <w:rsid w:val="00036309"/>
    <w:rsid w:val="00036D30"/>
    <w:rsid w:val="00037AA5"/>
    <w:rsid w:val="00037FF9"/>
    <w:rsid w:val="00040208"/>
    <w:rsid w:val="00040F7E"/>
    <w:rsid w:val="00041F4F"/>
    <w:rsid w:val="0004248F"/>
    <w:rsid w:val="00042C07"/>
    <w:rsid w:val="000431DD"/>
    <w:rsid w:val="000439B6"/>
    <w:rsid w:val="000443DC"/>
    <w:rsid w:val="000446C7"/>
    <w:rsid w:val="00045F83"/>
    <w:rsid w:val="00046171"/>
    <w:rsid w:val="0004645F"/>
    <w:rsid w:val="000466C5"/>
    <w:rsid w:val="00046DBB"/>
    <w:rsid w:val="00047708"/>
    <w:rsid w:val="00047BAE"/>
    <w:rsid w:val="00047C07"/>
    <w:rsid w:val="0005025F"/>
    <w:rsid w:val="00050617"/>
    <w:rsid w:val="00051A07"/>
    <w:rsid w:val="00052108"/>
    <w:rsid w:val="00052A71"/>
    <w:rsid w:val="00053326"/>
    <w:rsid w:val="0005371E"/>
    <w:rsid w:val="00053D9C"/>
    <w:rsid w:val="00054667"/>
    <w:rsid w:val="000546E4"/>
    <w:rsid w:val="00054828"/>
    <w:rsid w:val="0005543D"/>
    <w:rsid w:val="00055A5B"/>
    <w:rsid w:val="00055B5A"/>
    <w:rsid w:val="00055FDA"/>
    <w:rsid w:val="00056165"/>
    <w:rsid w:val="000561FD"/>
    <w:rsid w:val="0005669F"/>
    <w:rsid w:val="00056835"/>
    <w:rsid w:val="000568B8"/>
    <w:rsid w:val="00056F6B"/>
    <w:rsid w:val="000575DC"/>
    <w:rsid w:val="000576F4"/>
    <w:rsid w:val="00057AE5"/>
    <w:rsid w:val="00057C0E"/>
    <w:rsid w:val="00057ECC"/>
    <w:rsid w:val="00060239"/>
    <w:rsid w:val="000602A3"/>
    <w:rsid w:val="00060528"/>
    <w:rsid w:val="00060F41"/>
    <w:rsid w:val="000611BE"/>
    <w:rsid w:val="000613AF"/>
    <w:rsid w:val="000613D0"/>
    <w:rsid w:val="0006189F"/>
    <w:rsid w:val="000622D0"/>
    <w:rsid w:val="000625D3"/>
    <w:rsid w:val="000628B4"/>
    <w:rsid w:val="000631CF"/>
    <w:rsid w:val="000634D7"/>
    <w:rsid w:val="00063535"/>
    <w:rsid w:val="00064222"/>
    <w:rsid w:val="000642AB"/>
    <w:rsid w:val="00064EA1"/>
    <w:rsid w:val="000651B6"/>
    <w:rsid w:val="000659CA"/>
    <w:rsid w:val="00065BDF"/>
    <w:rsid w:val="000660CC"/>
    <w:rsid w:val="00066E7D"/>
    <w:rsid w:val="00067439"/>
    <w:rsid w:val="000679FF"/>
    <w:rsid w:val="00067BD2"/>
    <w:rsid w:val="00067F8C"/>
    <w:rsid w:val="00070619"/>
    <w:rsid w:val="0007083A"/>
    <w:rsid w:val="00070D0A"/>
    <w:rsid w:val="000710C9"/>
    <w:rsid w:val="0007130E"/>
    <w:rsid w:val="000718CB"/>
    <w:rsid w:val="00072C35"/>
    <w:rsid w:val="00072EB4"/>
    <w:rsid w:val="00074443"/>
    <w:rsid w:val="00074D8B"/>
    <w:rsid w:val="000760F5"/>
    <w:rsid w:val="0007694C"/>
    <w:rsid w:val="00076A45"/>
    <w:rsid w:val="00076B0A"/>
    <w:rsid w:val="00076CA6"/>
    <w:rsid w:val="0007708E"/>
    <w:rsid w:val="00077A45"/>
    <w:rsid w:val="00077D5D"/>
    <w:rsid w:val="000804CA"/>
    <w:rsid w:val="000811A6"/>
    <w:rsid w:val="00081DE2"/>
    <w:rsid w:val="0008217E"/>
    <w:rsid w:val="00082625"/>
    <w:rsid w:val="00082AC8"/>
    <w:rsid w:val="00082E14"/>
    <w:rsid w:val="00082E8B"/>
    <w:rsid w:val="0008322E"/>
    <w:rsid w:val="000837D6"/>
    <w:rsid w:val="000842D0"/>
    <w:rsid w:val="000842E6"/>
    <w:rsid w:val="0008444C"/>
    <w:rsid w:val="00084D06"/>
    <w:rsid w:val="00084E0E"/>
    <w:rsid w:val="00085D38"/>
    <w:rsid w:val="00085F83"/>
    <w:rsid w:val="000860A2"/>
    <w:rsid w:val="0008610F"/>
    <w:rsid w:val="000864A1"/>
    <w:rsid w:val="00086563"/>
    <w:rsid w:val="000867FF"/>
    <w:rsid w:val="0008741A"/>
    <w:rsid w:val="00087912"/>
    <w:rsid w:val="00087B65"/>
    <w:rsid w:val="00087BE7"/>
    <w:rsid w:val="000901DB"/>
    <w:rsid w:val="0009032A"/>
    <w:rsid w:val="00090CC2"/>
    <w:rsid w:val="000915DA"/>
    <w:rsid w:val="00091A37"/>
    <w:rsid w:val="000920EA"/>
    <w:rsid w:val="00092555"/>
    <w:rsid w:val="00092605"/>
    <w:rsid w:val="00092A37"/>
    <w:rsid w:val="00092BC1"/>
    <w:rsid w:val="00093AB3"/>
    <w:rsid w:val="000941A7"/>
    <w:rsid w:val="000941E1"/>
    <w:rsid w:val="000941FA"/>
    <w:rsid w:val="000947B8"/>
    <w:rsid w:val="0009508F"/>
    <w:rsid w:val="00095399"/>
    <w:rsid w:val="00095C08"/>
    <w:rsid w:val="00095D32"/>
    <w:rsid w:val="00096002"/>
    <w:rsid w:val="00096F7A"/>
    <w:rsid w:val="000973C3"/>
    <w:rsid w:val="00097542"/>
    <w:rsid w:val="000A011B"/>
    <w:rsid w:val="000A040D"/>
    <w:rsid w:val="000A0C81"/>
    <w:rsid w:val="000A15FD"/>
    <w:rsid w:val="000A1CFC"/>
    <w:rsid w:val="000A205E"/>
    <w:rsid w:val="000A251F"/>
    <w:rsid w:val="000A2613"/>
    <w:rsid w:val="000A2702"/>
    <w:rsid w:val="000A3101"/>
    <w:rsid w:val="000A3641"/>
    <w:rsid w:val="000A36B6"/>
    <w:rsid w:val="000A36DD"/>
    <w:rsid w:val="000A3DCB"/>
    <w:rsid w:val="000A40CC"/>
    <w:rsid w:val="000A43EE"/>
    <w:rsid w:val="000A5D33"/>
    <w:rsid w:val="000A5E4F"/>
    <w:rsid w:val="000A6378"/>
    <w:rsid w:val="000A67A4"/>
    <w:rsid w:val="000A6DB2"/>
    <w:rsid w:val="000A7042"/>
    <w:rsid w:val="000B1A58"/>
    <w:rsid w:val="000B244C"/>
    <w:rsid w:val="000B3630"/>
    <w:rsid w:val="000B4910"/>
    <w:rsid w:val="000B498A"/>
    <w:rsid w:val="000B4B33"/>
    <w:rsid w:val="000B59F9"/>
    <w:rsid w:val="000B5D80"/>
    <w:rsid w:val="000B6036"/>
    <w:rsid w:val="000B640E"/>
    <w:rsid w:val="000B6920"/>
    <w:rsid w:val="000B7346"/>
    <w:rsid w:val="000B7FFE"/>
    <w:rsid w:val="000C0306"/>
    <w:rsid w:val="000C1C77"/>
    <w:rsid w:val="000C1F45"/>
    <w:rsid w:val="000C3325"/>
    <w:rsid w:val="000C3E0F"/>
    <w:rsid w:val="000C3E29"/>
    <w:rsid w:val="000C469F"/>
    <w:rsid w:val="000C48F9"/>
    <w:rsid w:val="000C58CB"/>
    <w:rsid w:val="000C5EF4"/>
    <w:rsid w:val="000C6AFE"/>
    <w:rsid w:val="000C72DD"/>
    <w:rsid w:val="000C7D51"/>
    <w:rsid w:val="000C7F48"/>
    <w:rsid w:val="000D076C"/>
    <w:rsid w:val="000D0844"/>
    <w:rsid w:val="000D0E4A"/>
    <w:rsid w:val="000D0E58"/>
    <w:rsid w:val="000D13DD"/>
    <w:rsid w:val="000D24A8"/>
    <w:rsid w:val="000D2698"/>
    <w:rsid w:val="000D27B5"/>
    <w:rsid w:val="000D27BB"/>
    <w:rsid w:val="000D2CEB"/>
    <w:rsid w:val="000D3095"/>
    <w:rsid w:val="000D357C"/>
    <w:rsid w:val="000D35BA"/>
    <w:rsid w:val="000D375F"/>
    <w:rsid w:val="000D380C"/>
    <w:rsid w:val="000D38F0"/>
    <w:rsid w:val="000D402B"/>
    <w:rsid w:val="000D44F3"/>
    <w:rsid w:val="000D52D6"/>
    <w:rsid w:val="000D6056"/>
    <w:rsid w:val="000D6753"/>
    <w:rsid w:val="000D6E32"/>
    <w:rsid w:val="000D7055"/>
    <w:rsid w:val="000D7539"/>
    <w:rsid w:val="000E049E"/>
    <w:rsid w:val="000E0825"/>
    <w:rsid w:val="000E08E7"/>
    <w:rsid w:val="000E1DA3"/>
    <w:rsid w:val="000E2596"/>
    <w:rsid w:val="000E2D0A"/>
    <w:rsid w:val="000E2EDA"/>
    <w:rsid w:val="000E371C"/>
    <w:rsid w:val="000E3A47"/>
    <w:rsid w:val="000E3E96"/>
    <w:rsid w:val="000E5170"/>
    <w:rsid w:val="000E5EF3"/>
    <w:rsid w:val="000E5F8A"/>
    <w:rsid w:val="000E6470"/>
    <w:rsid w:val="000E66D5"/>
    <w:rsid w:val="000E68BA"/>
    <w:rsid w:val="000E6996"/>
    <w:rsid w:val="000E6A7A"/>
    <w:rsid w:val="000E7EE2"/>
    <w:rsid w:val="000E7F2E"/>
    <w:rsid w:val="000F027F"/>
    <w:rsid w:val="000F0319"/>
    <w:rsid w:val="000F0388"/>
    <w:rsid w:val="000F067C"/>
    <w:rsid w:val="000F09DF"/>
    <w:rsid w:val="000F0D0E"/>
    <w:rsid w:val="000F0E53"/>
    <w:rsid w:val="000F15E5"/>
    <w:rsid w:val="000F1CDA"/>
    <w:rsid w:val="000F1CE8"/>
    <w:rsid w:val="000F1F83"/>
    <w:rsid w:val="000F2177"/>
    <w:rsid w:val="000F2190"/>
    <w:rsid w:val="000F238C"/>
    <w:rsid w:val="000F2C38"/>
    <w:rsid w:val="000F2F87"/>
    <w:rsid w:val="000F3780"/>
    <w:rsid w:val="000F37DD"/>
    <w:rsid w:val="000F3C13"/>
    <w:rsid w:val="000F3C23"/>
    <w:rsid w:val="000F4DB5"/>
    <w:rsid w:val="000F4FA0"/>
    <w:rsid w:val="000F58F4"/>
    <w:rsid w:val="000F63B5"/>
    <w:rsid w:val="000F6A63"/>
    <w:rsid w:val="000F7907"/>
    <w:rsid w:val="000F7B04"/>
    <w:rsid w:val="000F7E64"/>
    <w:rsid w:val="00100654"/>
    <w:rsid w:val="001006BB"/>
    <w:rsid w:val="0010120F"/>
    <w:rsid w:val="001014A0"/>
    <w:rsid w:val="0010178A"/>
    <w:rsid w:val="001024B4"/>
    <w:rsid w:val="00102818"/>
    <w:rsid w:val="001029D3"/>
    <w:rsid w:val="00102B18"/>
    <w:rsid w:val="00102B61"/>
    <w:rsid w:val="0010425D"/>
    <w:rsid w:val="0010434F"/>
    <w:rsid w:val="00104864"/>
    <w:rsid w:val="001055B0"/>
    <w:rsid w:val="00105A29"/>
    <w:rsid w:val="001066F3"/>
    <w:rsid w:val="00106C13"/>
    <w:rsid w:val="00106D99"/>
    <w:rsid w:val="00107D42"/>
    <w:rsid w:val="00107D51"/>
    <w:rsid w:val="00110032"/>
    <w:rsid w:val="001103E9"/>
    <w:rsid w:val="00110A3D"/>
    <w:rsid w:val="00110A9F"/>
    <w:rsid w:val="001113DA"/>
    <w:rsid w:val="00111417"/>
    <w:rsid w:val="00112093"/>
    <w:rsid w:val="001123B8"/>
    <w:rsid w:val="00112624"/>
    <w:rsid w:val="00112F36"/>
    <w:rsid w:val="00113108"/>
    <w:rsid w:val="001138C1"/>
    <w:rsid w:val="00113A2D"/>
    <w:rsid w:val="00114260"/>
    <w:rsid w:val="00114DEB"/>
    <w:rsid w:val="00115321"/>
    <w:rsid w:val="001158F9"/>
    <w:rsid w:val="001164EC"/>
    <w:rsid w:val="00116EE2"/>
    <w:rsid w:val="00117467"/>
    <w:rsid w:val="00117723"/>
    <w:rsid w:val="00117EDF"/>
    <w:rsid w:val="001203DA"/>
    <w:rsid w:val="00120734"/>
    <w:rsid w:val="00120A87"/>
    <w:rsid w:val="0012106C"/>
    <w:rsid w:val="00121157"/>
    <w:rsid w:val="00121390"/>
    <w:rsid w:val="001213DB"/>
    <w:rsid w:val="00122E89"/>
    <w:rsid w:val="00122EBB"/>
    <w:rsid w:val="00123679"/>
    <w:rsid w:val="00123EC3"/>
    <w:rsid w:val="00124373"/>
    <w:rsid w:val="00124522"/>
    <w:rsid w:val="00124734"/>
    <w:rsid w:val="001251ED"/>
    <w:rsid w:val="0012603E"/>
    <w:rsid w:val="0012742B"/>
    <w:rsid w:val="00127771"/>
    <w:rsid w:val="00127E79"/>
    <w:rsid w:val="00127FE8"/>
    <w:rsid w:val="00130324"/>
    <w:rsid w:val="001306C5"/>
    <w:rsid w:val="0013096B"/>
    <w:rsid w:val="00130C3E"/>
    <w:rsid w:val="00130CA2"/>
    <w:rsid w:val="0013285C"/>
    <w:rsid w:val="00132CC7"/>
    <w:rsid w:val="00134010"/>
    <w:rsid w:val="001361CA"/>
    <w:rsid w:val="0013661C"/>
    <w:rsid w:val="00136FD2"/>
    <w:rsid w:val="001373AD"/>
    <w:rsid w:val="001375CE"/>
    <w:rsid w:val="001376A4"/>
    <w:rsid w:val="00137C5A"/>
    <w:rsid w:val="00140666"/>
    <w:rsid w:val="001409CE"/>
    <w:rsid w:val="00140B72"/>
    <w:rsid w:val="001411A6"/>
    <w:rsid w:val="0014121C"/>
    <w:rsid w:val="001413D0"/>
    <w:rsid w:val="00141418"/>
    <w:rsid w:val="0014223E"/>
    <w:rsid w:val="0014246D"/>
    <w:rsid w:val="001426B2"/>
    <w:rsid w:val="001429F6"/>
    <w:rsid w:val="00142F63"/>
    <w:rsid w:val="001432DA"/>
    <w:rsid w:val="00143325"/>
    <w:rsid w:val="001438B8"/>
    <w:rsid w:val="00143AAB"/>
    <w:rsid w:val="00143D26"/>
    <w:rsid w:val="00143D58"/>
    <w:rsid w:val="00143E60"/>
    <w:rsid w:val="0014401E"/>
    <w:rsid w:val="001443A6"/>
    <w:rsid w:val="001446D7"/>
    <w:rsid w:val="00144750"/>
    <w:rsid w:val="00144ED4"/>
    <w:rsid w:val="001451CC"/>
    <w:rsid w:val="00145FFA"/>
    <w:rsid w:val="00146D5C"/>
    <w:rsid w:val="001475FA"/>
    <w:rsid w:val="00147A70"/>
    <w:rsid w:val="0015050F"/>
    <w:rsid w:val="00150B90"/>
    <w:rsid w:val="00150EF6"/>
    <w:rsid w:val="00151059"/>
    <w:rsid w:val="0015144D"/>
    <w:rsid w:val="00151572"/>
    <w:rsid w:val="00151E62"/>
    <w:rsid w:val="00152126"/>
    <w:rsid w:val="00152296"/>
    <w:rsid w:val="001524DA"/>
    <w:rsid w:val="00152590"/>
    <w:rsid w:val="001528A5"/>
    <w:rsid w:val="00153517"/>
    <w:rsid w:val="001541C9"/>
    <w:rsid w:val="0015422B"/>
    <w:rsid w:val="0015456F"/>
    <w:rsid w:val="00154813"/>
    <w:rsid w:val="001553D1"/>
    <w:rsid w:val="001557A9"/>
    <w:rsid w:val="001557C0"/>
    <w:rsid w:val="00155A86"/>
    <w:rsid w:val="00155BC0"/>
    <w:rsid w:val="001564A7"/>
    <w:rsid w:val="001565B4"/>
    <w:rsid w:val="0015682A"/>
    <w:rsid w:val="00156B85"/>
    <w:rsid w:val="00156C46"/>
    <w:rsid w:val="001577A8"/>
    <w:rsid w:val="00160054"/>
    <w:rsid w:val="001604BE"/>
    <w:rsid w:val="00160514"/>
    <w:rsid w:val="00160730"/>
    <w:rsid w:val="00160AC4"/>
    <w:rsid w:val="00160E14"/>
    <w:rsid w:val="00161383"/>
    <w:rsid w:val="001615AD"/>
    <w:rsid w:val="00161D26"/>
    <w:rsid w:val="0016247D"/>
    <w:rsid w:val="0016299D"/>
    <w:rsid w:val="00162FB4"/>
    <w:rsid w:val="00163E99"/>
    <w:rsid w:val="0016401F"/>
    <w:rsid w:val="0016425C"/>
    <w:rsid w:val="001643D2"/>
    <w:rsid w:val="00164991"/>
    <w:rsid w:val="00164F73"/>
    <w:rsid w:val="001652FC"/>
    <w:rsid w:val="00165C50"/>
    <w:rsid w:val="00166C8D"/>
    <w:rsid w:val="00166DED"/>
    <w:rsid w:val="00166F23"/>
    <w:rsid w:val="00167886"/>
    <w:rsid w:val="00167F3F"/>
    <w:rsid w:val="0017068F"/>
    <w:rsid w:val="00170C37"/>
    <w:rsid w:val="00171272"/>
    <w:rsid w:val="001714B0"/>
    <w:rsid w:val="00171BD2"/>
    <w:rsid w:val="0017285E"/>
    <w:rsid w:val="00172B5B"/>
    <w:rsid w:val="00173B03"/>
    <w:rsid w:val="00173C37"/>
    <w:rsid w:val="00173C6B"/>
    <w:rsid w:val="00173EA0"/>
    <w:rsid w:val="00174C34"/>
    <w:rsid w:val="00175328"/>
    <w:rsid w:val="0017548D"/>
    <w:rsid w:val="001754A2"/>
    <w:rsid w:val="00176146"/>
    <w:rsid w:val="00176700"/>
    <w:rsid w:val="00176A6E"/>
    <w:rsid w:val="001774D1"/>
    <w:rsid w:val="00180097"/>
    <w:rsid w:val="001806CB"/>
    <w:rsid w:val="0018070E"/>
    <w:rsid w:val="0018090D"/>
    <w:rsid w:val="00180C29"/>
    <w:rsid w:val="001819C2"/>
    <w:rsid w:val="00181A05"/>
    <w:rsid w:val="00181DC2"/>
    <w:rsid w:val="00181E45"/>
    <w:rsid w:val="00181E70"/>
    <w:rsid w:val="00181EE6"/>
    <w:rsid w:val="001822DA"/>
    <w:rsid w:val="00182FA5"/>
    <w:rsid w:val="00183141"/>
    <w:rsid w:val="00183239"/>
    <w:rsid w:val="001838F6"/>
    <w:rsid w:val="001840E0"/>
    <w:rsid w:val="00184172"/>
    <w:rsid w:val="00184293"/>
    <w:rsid w:val="0018446F"/>
    <w:rsid w:val="0018484C"/>
    <w:rsid w:val="00184909"/>
    <w:rsid w:val="0018497E"/>
    <w:rsid w:val="00185218"/>
    <w:rsid w:val="001857C5"/>
    <w:rsid w:val="00185806"/>
    <w:rsid w:val="001861AB"/>
    <w:rsid w:val="00186D6F"/>
    <w:rsid w:val="0018761A"/>
    <w:rsid w:val="0018771E"/>
    <w:rsid w:val="00187D67"/>
    <w:rsid w:val="00190425"/>
    <w:rsid w:val="001908B6"/>
    <w:rsid w:val="00190D6C"/>
    <w:rsid w:val="001929C9"/>
    <w:rsid w:val="00192FA7"/>
    <w:rsid w:val="0019342F"/>
    <w:rsid w:val="0019345A"/>
    <w:rsid w:val="00193E01"/>
    <w:rsid w:val="00194315"/>
    <w:rsid w:val="00194542"/>
    <w:rsid w:val="001948F4"/>
    <w:rsid w:val="00194F05"/>
    <w:rsid w:val="00195383"/>
    <w:rsid w:val="00195504"/>
    <w:rsid w:val="0019551A"/>
    <w:rsid w:val="001957E5"/>
    <w:rsid w:val="00195AED"/>
    <w:rsid w:val="00196B9B"/>
    <w:rsid w:val="00196D35"/>
    <w:rsid w:val="00197550"/>
    <w:rsid w:val="0019770D"/>
    <w:rsid w:val="00197772"/>
    <w:rsid w:val="00197F0B"/>
    <w:rsid w:val="001A08A3"/>
    <w:rsid w:val="001A097F"/>
    <w:rsid w:val="001A10D0"/>
    <w:rsid w:val="001A11B2"/>
    <w:rsid w:val="001A1884"/>
    <w:rsid w:val="001A1C0F"/>
    <w:rsid w:val="001A2287"/>
    <w:rsid w:val="001A27BF"/>
    <w:rsid w:val="001A2859"/>
    <w:rsid w:val="001A28EB"/>
    <w:rsid w:val="001A2A26"/>
    <w:rsid w:val="001A2B5F"/>
    <w:rsid w:val="001A2D99"/>
    <w:rsid w:val="001A30B9"/>
    <w:rsid w:val="001A32DC"/>
    <w:rsid w:val="001A330B"/>
    <w:rsid w:val="001A3481"/>
    <w:rsid w:val="001A367B"/>
    <w:rsid w:val="001A3DA5"/>
    <w:rsid w:val="001A4287"/>
    <w:rsid w:val="001A4336"/>
    <w:rsid w:val="001A46F0"/>
    <w:rsid w:val="001A4801"/>
    <w:rsid w:val="001A4F42"/>
    <w:rsid w:val="001A5448"/>
    <w:rsid w:val="001A57AF"/>
    <w:rsid w:val="001A68E6"/>
    <w:rsid w:val="001A6B3E"/>
    <w:rsid w:val="001A6EAB"/>
    <w:rsid w:val="001A76E5"/>
    <w:rsid w:val="001A7F94"/>
    <w:rsid w:val="001B0E26"/>
    <w:rsid w:val="001B15E2"/>
    <w:rsid w:val="001B1A20"/>
    <w:rsid w:val="001B1F99"/>
    <w:rsid w:val="001B2A2E"/>
    <w:rsid w:val="001B2D5F"/>
    <w:rsid w:val="001B32C1"/>
    <w:rsid w:val="001B35C5"/>
    <w:rsid w:val="001B3790"/>
    <w:rsid w:val="001B38FF"/>
    <w:rsid w:val="001B3D3B"/>
    <w:rsid w:val="001B432F"/>
    <w:rsid w:val="001B435F"/>
    <w:rsid w:val="001B4560"/>
    <w:rsid w:val="001B4C28"/>
    <w:rsid w:val="001B5051"/>
    <w:rsid w:val="001B5414"/>
    <w:rsid w:val="001B55EB"/>
    <w:rsid w:val="001B5AC6"/>
    <w:rsid w:val="001B5C2F"/>
    <w:rsid w:val="001B63ED"/>
    <w:rsid w:val="001B6529"/>
    <w:rsid w:val="001B6E42"/>
    <w:rsid w:val="001B6EB1"/>
    <w:rsid w:val="001B7AEF"/>
    <w:rsid w:val="001C0784"/>
    <w:rsid w:val="001C08D6"/>
    <w:rsid w:val="001C08FE"/>
    <w:rsid w:val="001C0E39"/>
    <w:rsid w:val="001C0E77"/>
    <w:rsid w:val="001C1004"/>
    <w:rsid w:val="001C1034"/>
    <w:rsid w:val="001C10D9"/>
    <w:rsid w:val="001C12F4"/>
    <w:rsid w:val="001C171B"/>
    <w:rsid w:val="001C1BD2"/>
    <w:rsid w:val="001C2A32"/>
    <w:rsid w:val="001C2FC6"/>
    <w:rsid w:val="001C3117"/>
    <w:rsid w:val="001C3695"/>
    <w:rsid w:val="001C36DD"/>
    <w:rsid w:val="001C3B23"/>
    <w:rsid w:val="001C3C14"/>
    <w:rsid w:val="001C4BF3"/>
    <w:rsid w:val="001C6324"/>
    <w:rsid w:val="001C656C"/>
    <w:rsid w:val="001C663C"/>
    <w:rsid w:val="001C67D4"/>
    <w:rsid w:val="001C6BFC"/>
    <w:rsid w:val="001C73C7"/>
    <w:rsid w:val="001C7C48"/>
    <w:rsid w:val="001D062B"/>
    <w:rsid w:val="001D0762"/>
    <w:rsid w:val="001D0A5F"/>
    <w:rsid w:val="001D0C63"/>
    <w:rsid w:val="001D1E40"/>
    <w:rsid w:val="001D1F5A"/>
    <w:rsid w:val="001D253B"/>
    <w:rsid w:val="001D2EC4"/>
    <w:rsid w:val="001D2F9F"/>
    <w:rsid w:val="001D3C90"/>
    <w:rsid w:val="001D3ED5"/>
    <w:rsid w:val="001D4215"/>
    <w:rsid w:val="001D4239"/>
    <w:rsid w:val="001D482E"/>
    <w:rsid w:val="001D4C55"/>
    <w:rsid w:val="001D50B9"/>
    <w:rsid w:val="001D576A"/>
    <w:rsid w:val="001D5A50"/>
    <w:rsid w:val="001D640C"/>
    <w:rsid w:val="001D65C1"/>
    <w:rsid w:val="001D6678"/>
    <w:rsid w:val="001D6961"/>
    <w:rsid w:val="001D6EB4"/>
    <w:rsid w:val="001D7323"/>
    <w:rsid w:val="001D74E5"/>
    <w:rsid w:val="001E0ED8"/>
    <w:rsid w:val="001E13D7"/>
    <w:rsid w:val="001E1AB9"/>
    <w:rsid w:val="001E1F4B"/>
    <w:rsid w:val="001E2372"/>
    <w:rsid w:val="001E3E0A"/>
    <w:rsid w:val="001E4D6F"/>
    <w:rsid w:val="001E4EF8"/>
    <w:rsid w:val="001E5A43"/>
    <w:rsid w:val="001E5A44"/>
    <w:rsid w:val="001E5EC9"/>
    <w:rsid w:val="001E6483"/>
    <w:rsid w:val="001E65CB"/>
    <w:rsid w:val="001E6C79"/>
    <w:rsid w:val="001E6D66"/>
    <w:rsid w:val="001E7717"/>
    <w:rsid w:val="001E77AB"/>
    <w:rsid w:val="001E79ED"/>
    <w:rsid w:val="001F0180"/>
    <w:rsid w:val="001F0D0F"/>
    <w:rsid w:val="001F0D96"/>
    <w:rsid w:val="001F1912"/>
    <w:rsid w:val="001F1DB9"/>
    <w:rsid w:val="001F2059"/>
    <w:rsid w:val="001F225E"/>
    <w:rsid w:val="001F266D"/>
    <w:rsid w:val="001F27A1"/>
    <w:rsid w:val="001F393B"/>
    <w:rsid w:val="001F3AD4"/>
    <w:rsid w:val="001F3F75"/>
    <w:rsid w:val="001F44D5"/>
    <w:rsid w:val="001F4AE4"/>
    <w:rsid w:val="001F516A"/>
    <w:rsid w:val="001F5A56"/>
    <w:rsid w:val="001F711A"/>
    <w:rsid w:val="001F7C18"/>
    <w:rsid w:val="001F7DA1"/>
    <w:rsid w:val="00201401"/>
    <w:rsid w:val="00201448"/>
    <w:rsid w:val="002016E8"/>
    <w:rsid w:val="002022F8"/>
    <w:rsid w:val="00202B43"/>
    <w:rsid w:val="00202F5F"/>
    <w:rsid w:val="00202FD7"/>
    <w:rsid w:val="0020336B"/>
    <w:rsid w:val="0020338D"/>
    <w:rsid w:val="002037CB"/>
    <w:rsid w:val="00203A01"/>
    <w:rsid w:val="002042AF"/>
    <w:rsid w:val="00204355"/>
    <w:rsid w:val="002043DE"/>
    <w:rsid w:val="00204679"/>
    <w:rsid w:val="00204898"/>
    <w:rsid w:val="00205650"/>
    <w:rsid w:val="00205E0A"/>
    <w:rsid w:val="00206E98"/>
    <w:rsid w:val="00207344"/>
    <w:rsid w:val="00207503"/>
    <w:rsid w:val="00207ADE"/>
    <w:rsid w:val="002102CE"/>
    <w:rsid w:val="00210F34"/>
    <w:rsid w:val="002114D3"/>
    <w:rsid w:val="00211819"/>
    <w:rsid w:val="00211AE0"/>
    <w:rsid w:val="002120C4"/>
    <w:rsid w:val="002125FA"/>
    <w:rsid w:val="00212D91"/>
    <w:rsid w:val="002130FE"/>
    <w:rsid w:val="0021312E"/>
    <w:rsid w:val="00214209"/>
    <w:rsid w:val="00214CCB"/>
    <w:rsid w:val="00214D1C"/>
    <w:rsid w:val="00214D70"/>
    <w:rsid w:val="0021527B"/>
    <w:rsid w:val="0021714A"/>
    <w:rsid w:val="00217ACE"/>
    <w:rsid w:val="00217D35"/>
    <w:rsid w:val="00220920"/>
    <w:rsid w:val="002212D9"/>
    <w:rsid w:val="002212EC"/>
    <w:rsid w:val="0022135F"/>
    <w:rsid w:val="00221FE4"/>
    <w:rsid w:val="002222DC"/>
    <w:rsid w:val="00222F0B"/>
    <w:rsid w:val="0022365D"/>
    <w:rsid w:val="00223966"/>
    <w:rsid w:val="00224227"/>
    <w:rsid w:val="002246A4"/>
    <w:rsid w:val="002247B2"/>
    <w:rsid w:val="00224A86"/>
    <w:rsid w:val="002255BB"/>
    <w:rsid w:val="00225BDF"/>
    <w:rsid w:val="002260A2"/>
    <w:rsid w:val="002266EC"/>
    <w:rsid w:val="002267BB"/>
    <w:rsid w:val="00226C43"/>
    <w:rsid w:val="00226EA0"/>
    <w:rsid w:val="00227121"/>
    <w:rsid w:val="00227499"/>
    <w:rsid w:val="002303F7"/>
    <w:rsid w:val="00230B66"/>
    <w:rsid w:val="00230BD5"/>
    <w:rsid w:val="002313F2"/>
    <w:rsid w:val="002318C9"/>
    <w:rsid w:val="0023191F"/>
    <w:rsid w:val="00231928"/>
    <w:rsid w:val="00232298"/>
    <w:rsid w:val="002324F8"/>
    <w:rsid w:val="0023276E"/>
    <w:rsid w:val="00232F31"/>
    <w:rsid w:val="0023301A"/>
    <w:rsid w:val="00233874"/>
    <w:rsid w:val="00233A57"/>
    <w:rsid w:val="002343AE"/>
    <w:rsid w:val="0023486E"/>
    <w:rsid w:val="00234AAE"/>
    <w:rsid w:val="00234C2F"/>
    <w:rsid w:val="00235145"/>
    <w:rsid w:val="0023567C"/>
    <w:rsid w:val="00236B3C"/>
    <w:rsid w:val="00236FC8"/>
    <w:rsid w:val="0023757B"/>
    <w:rsid w:val="00237733"/>
    <w:rsid w:val="00240055"/>
    <w:rsid w:val="0024036A"/>
    <w:rsid w:val="002405EA"/>
    <w:rsid w:val="0024088E"/>
    <w:rsid w:val="002411ED"/>
    <w:rsid w:val="002413BE"/>
    <w:rsid w:val="00241839"/>
    <w:rsid w:val="00242252"/>
    <w:rsid w:val="00242BF9"/>
    <w:rsid w:val="00242C8D"/>
    <w:rsid w:val="00242DEC"/>
    <w:rsid w:val="00242ED2"/>
    <w:rsid w:val="0024319C"/>
    <w:rsid w:val="0024354D"/>
    <w:rsid w:val="00243BE0"/>
    <w:rsid w:val="00243F3E"/>
    <w:rsid w:val="00244002"/>
    <w:rsid w:val="0024405A"/>
    <w:rsid w:val="00244255"/>
    <w:rsid w:val="00244632"/>
    <w:rsid w:val="0024493C"/>
    <w:rsid w:val="00245991"/>
    <w:rsid w:val="00245ECB"/>
    <w:rsid w:val="002471F1"/>
    <w:rsid w:val="002478A1"/>
    <w:rsid w:val="00247E41"/>
    <w:rsid w:val="00250113"/>
    <w:rsid w:val="002514C2"/>
    <w:rsid w:val="00251A2C"/>
    <w:rsid w:val="00251C04"/>
    <w:rsid w:val="002520E1"/>
    <w:rsid w:val="00252257"/>
    <w:rsid w:val="0025263C"/>
    <w:rsid w:val="002531B9"/>
    <w:rsid w:val="00253346"/>
    <w:rsid w:val="0025431E"/>
    <w:rsid w:val="002555CC"/>
    <w:rsid w:val="002557F6"/>
    <w:rsid w:val="00260387"/>
    <w:rsid w:val="0026038A"/>
    <w:rsid w:val="0026039B"/>
    <w:rsid w:val="002603FA"/>
    <w:rsid w:val="0026066C"/>
    <w:rsid w:val="002612EF"/>
    <w:rsid w:val="00261311"/>
    <w:rsid w:val="00261A85"/>
    <w:rsid w:val="00261B97"/>
    <w:rsid w:val="00261C2B"/>
    <w:rsid w:val="0026211F"/>
    <w:rsid w:val="002636A3"/>
    <w:rsid w:val="0026404F"/>
    <w:rsid w:val="0026457F"/>
    <w:rsid w:val="00264B36"/>
    <w:rsid w:val="002652D5"/>
    <w:rsid w:val="002653F2"/>
    <w:rsid w:val="00265620"/>
    <w:rsid w:val="002659FB"/>
    <w:rsid w:val="00265AB4"/>
    <w:rsid w:val="00266D84"/>
    <w:rsid w:val="002671BA"/>
    <w:rsid w:val="00267C42"/>
    <w:rsid w:val="0027002D"/>
    <w:rsid w:val="00270172"/>
    <w:rsid w:val="00270519"/>
    <w:rsid w:val="00271711"/>
    <w:rsid w:val="002722AF"/>
    <w:rsid w:val="00272763"/>
    <w:rsid w:val="00272988"/>
    <w:rsid w:val="00272B0B"/>
    <w:rsid w:val="00273A57"/>
    <w:rsid w:val="00273DD9"/>
    <w:rsid w:val="002744D5"/>
    <w:rsid w:val="002747F4"/>
    <w:rsid w:val="0027522F"/>
    <w:rsid w:val="00276286"/>
    <w:rsid w:val="00277518"/>
    <w:rsid w:val="00277E3B"/>
    <w:rsid w:val="00277E6A"/>
    <w:rsid w:val="00280055"/>
    <w:rsid w:val="00280062"/>
    <w:rsid w:val="002800D7"/>
    <w:rsid w:val="002808EF"/>
    <w:rsid w:val="0028103D"/>
    <w:rsid w:val="002823D8"/>
    <w:rsid w:val="0028251A"/>
    <w:rsid w:val="002827DB"/>
    <w:rsid w:val="0028313A"/>
    <w:rsid w:val="00283865"/>
    <w:rsid w:val="00284482"/>
    <w:rsid w:val="002849FA"/>
    <w:rsid w:val="00284AA2"/>
    <w:rsid w:val="00284AA4"/>
    <w:rsid w:val="00285784"/>
    <w:rsid w:val="00285807"/>
    <w:rsid w:val="00285B40"/>
    <w:rsid w:val="00285CDD"/>
    <w:rsid w:val="00285DF1"/>
    <w:rsid w:val="002862C8"/>
    <w:rsid w:val="00286415"/>
    <w:rsid w:val="002869E2"/>
    <w:rsid w:val="00286BDD"/>
    <w:rsid w:val="00286D5B"/>
    <w:rsid w:val="00286E5A"/>
    <w:rsid w:val="002870B9"/>
    <w:rsid w:val="002872FC"/>
    <w:rsid w:val="002875C3"/>
    <w:rsid w:val="00287B48"/>
    <w:rsid w:val="00290154"/>
    <w:rsid w:val="0029041A"/>
    <w:rsid w:val="0029082B"/>
    <w:rsid w:val="00290B80"/>
    <w:rsid w:val="00290FE8"/>
    <w:rsid w:val="0029126F"/>
    <w:rsid w:val="002912BB"/>
    <w:rsid w:val="0029134C"/>
    <w:rsid w:val="00291416"/>
    <w:rsid w:val="00291C9A"/>
    <w:rsid w:val="00292013"/>
    <w:rsid w:val="0029269E"/>
    <w:rsid w:val="00293E41"/>
    <w:rsid w:val="00293EE1"/>
    <w:rsid w:val="002942A6"/>
    <w:rsid w:val="0029548D"/>
    <w:rsid w:val="00295CCE"/>
    <w:rsid w:val="00295D2A"/>
    <w:rsid w:val="00295FD1"/>
    <w:rsid w:val="00296088"/>
    <w:rsid w:val="00296ACC"/>
    <w:rsid w:val="00297AB7"/>
    <w:rsid w:val="002A0306"/>
    <w:rsid w:val="002A04E0"/>
    <w:rsid w:val="002A11E5"/>
    <w:rsid w:val="002A14A3"/>
    <w:rsid w:val="002A16BA"/>
    <w:rsid w:val="002A176A"/>
    <w:rsid w:val="002A1844"/>
    <w:rsid w:val="002A1DE1"/>
    <w:rsid w:val="002A20A7"/>
    <w:rsid w:val="002A21D8"/>
    <w:rsid w:val="002A3232"/>
    <w:rsid w:val="002A34D3"/>
    <w:rsid w:val="002A39A0"/>
    <w:rsid w:val="002A3DA0"/>
    <w:rsid w:val="002A4042"/>
    <w:rsid w:val="002A438C"/>
    <w:rsid w:val="002A451B"/>
    <w:rsid w:val="002A4702"/>
    <w:rsid w:val="002A4853"/>
    <w:rsid w:val="002A4DAD"/>
    <w:rsid w:val="002A516C"/>
    <w:rsid w:val="002A5EE6"/>
    <w:rsid w:val="002A69C8"/>
    <w:rsid w:val="002A7912"/>
    <w:rsid w:val="002A7B17"/>
    <w:rsid w:val="002A7F13"/>
    <w:rsid w:val="002B1A1A"/>
    <w:rsid w:val="002B30B9"/>
    <w:rsid w:val="002B428E"/>
    <w:rsid w:val="002B48C8"/>
    <w:rsid w:val="002B4958"/>
    <w:rsid w:val="002B4BBF"/>
    <w:rsid w:val="002B4D20"/>
    <w:rsid w:val="002B5573"/>
    <w:rsid w:val="002B7438"/>
    <w:rsid w:val="002C0089"/>
    <w:rsid w:val="002C03DA"/>
    <w:rsid w:val="002C083C"/>
    <w:rsid w:val="002C0E4B"/>
    <w:rsid w:val="002C0E7C"/>
    <w:rsid w:val="002C1A45"/>
    <w:rsid w:val="002C1A89"/>
    <w:rsid w:val="002C1FBD"/>
    <w:rsid w:val="002C2C1C"/>
    <w:rsid w:val="002C2CBD"/>
    <w:rsid w:val="002C2EC3"/>
    <w:rsid w:val="002C3251"/>
    <w:rsid w:val="002C3811"/>
    <w:rsid w:val="002C3CA4"/>
    <w:rsid w:val="002C417D"/>
    <w:rsid w:val="002C454A"/>
    <w:rsid w:val="002C4B38"/>
    <w:rsid w:val="002C5B19"/>
    <w:rsid w:val="002C5CA7"/>
    <w:rsid w:val="002C5FDA"/>
    <w:rsid w:val="002C6039"/>
    <w:rsid w:val="002C63DA"/>
    <w:rsid w:val="002C6792"/>
    <w:rsid w:val="002C6A00"/>
    <w:rsid w:val="002C6A61"/>
    <w:rsid w:val="002C6DA1"/>
    <w:rsid w:val="002C6E15"/>
    <w:rsid w:val="002C76C3"/>
    <w:rsid w:val="002D068A"/>
    <w:rsid w:val="002D1230"/>
    <w:rsid w:val="002D19C3"/>
    <w:rsid w:val="002D1BD5"/>
    <w:rsid w:val="002D1EC3"/>
    <w:rsid w:val="002D2265"/>
    <w:rsid w:val="002D2C9E"/>
    <w:rsid w:val="002D3E3E"/>
    <w:rsid w:val="002D434A"/>
    <w:rsid w:val="002D4967"/>
    <w:rsid w:val="002D4CEB"/>
    <w:rsid w:val="002D4F7E"/>
    <w:rsid w:val="002D5076"/>
    <w:rsid w:val="002D5341"/>
    <w:rsid w:val="002D5451"/>
    <w:rsid w:val="002D5C48"/>
    <w:rsid w:val="002D60F0"/>
    <w:rsid w:val="002D6514"/>
    <w:rsid w:val="002D6E7A"/>
    <w:rsid w:val="002D6F9F"/>
    <w:rsid w:val="002D7FBD"/>
    <w:rsid w:val="002E0011"/>
    <w:rsid w:val="002E047A"/>
    <w:rsid w:val="002E07DB"/>
    <w:rsid w:val="002E1204"/>
    <w:rsid w:val="002E1259"/>
    <w:rsid w:val="002E18AC"/>
    <w:rsid w:val="002E22AB"/>
    <w:rsid w:val="002E244F"/>
    <w:rsid w:val="002E3591"/>
    <w:rsid w:val="002E3A58"/>
    <w:rsid w:val="002E4152"/>
    <w:rsid w:val="002E451F"/>
    <w:rsid w:val="002E4976"/>
    <w:rsid w:val="002E4DAD"/>
    <w:rsid w:val="002E512E"/>
    <w:rsid w:val="002E5503"/>
    <w:rsid w:val="002E55A7"/>
    <w:rsid w:val="002E5798"/>
    <w:rsid w:val="002E5A78"/>
    <w:rsid w:val="002E5EDA"/>
    <w:rsid w:val="002E6451"/>
    <w:rsid w:val="002E67FB"/>
    <w:rsid w:val="002E7557"/>
    <w:rsid w:val="002E7A98"/>
    <w:rsid w:val="002E7B50"/>
    <w:rsid w:val="002E7FBB"/>
    <w:rsid w:val="002F0A2F"/>
    <w:rsid w:val="002F11DB"/>
    <w:rsid w:val="002F1CD5"/>
    <w:rsid w:val="002F3283"/>
    <w:rsid w:val="002F38D3"/>
    <w:rsid w:val="002F4308"/>
    <w:rsid w:val="002F568E"/>
    <w:rsid w:val="002F56B5"/>
    <w:rsid w:val="002F5C3B"/>
    <w:rsid w:val="002F5E50"/>
    <w:rsid w:val="002F5FE8"/>
    <w:rsid w:val="002F6F64"/>
    <w:rsid w:val="002F7292"/>
    <w:rsid w:val="002F7E3E"/>
    <w:rsid w:val="00300503"/>
    <w:rsid w:val="003006A9"/>
    <w:rsid w:val="0030076E"/>
    <w:rsid w:val="00300A69"/>
    <w:rsid w:val="00301670"/>
    <w:rsid w:val="003016F1"/>
    <w:rsid w:val="00302D70"/>
    <w:rsid w:val="003032CB"/>
    <w:rsid w:val="00303CAB"/>
    <w:rsid w:val="00303F13"/>
    <w:rsid w:val="0030416C"/>
    <w:rsid w:val="0030461C"/>
    <w:rsid w:val="00305338"/>
    <w:rsid w:val="003053A5"/>
    <w:rsid w:val="0030561D"/>
    <w:rsid w:val="00305DC4"/>
    <w:rsid w:val="00305F5D"/>
    <w:rsid w:val="00307119"/>
    <w:rsid w:val="003076E4"/>
    <w:rsid w:val="003078D8"/>
    <w:rsid w:val="00307D65"/>
    <w:rsid w:val="00307EC7"/>
    <w:rsid w:val="00310271"/>
    <w:rsid w:val="003103C1"/>
    <w:rsid w:val="003107E0"/>
    <w:rsid w:val="00310C0D"/>
    <w:rsid w:val="00310E96"/>
    <w:rsid w:val="00311A69"/>
    <w:rsid w:val="00311A6C"/>
    <w:rsid w:val="00311F82"/>
    <w:rsid w:val="00312611"/>
    <w:rsid w:val="00313141"/>
    <w:rsid w:val="00313600"/>
    <w:rsid w:val="003139EF"/>
    <w:rsid w:val="00313B10"/>
    <w:rsid w:val="00313EB7"/>
    <w:rsid w:val="00313FC5"/>
    <w:rsid w:val="00316C4A"/>
    <w:rsid w:val="003170DA"/>
    <w:rsid w:val="003171C0"/>
    <w:rsid w:val="0031787C"/>
    <w:rsid w:val="00317A58"/>
    <w:rsid w:val="00317FFC"/>
    <w:rsid w:val="00320A94"/>
    <w:rsid w:val="00320D8F"/>
    <w:rsid w:val="00321B34"/>
    <w:rsid w:val="00321DC0"/>
    <w:rsid w:val="00321DF5"/>
    <w:rsid w:val="003221DC"/>
    <w:rsid w:val="003222E5"/>
    <w:rsid w:val="00322622"/>
    <w:rsid w:val="0032267F"/>
    <w:rsid w:val="00322AA3"/>
    <w:rsid w:val="003231C2"/>
    <w:rsid w:val="003233C8"/>
    <w:rsid w:val="003234B6"/>
    <w:rsid w:val="003239E9"/>
    <w:rsid w:val="00323A55"/>
    <w:rsid w:val="00323B97"/>
    <w:rsid w:val="00323B98"/>
    <w:rsid w:val="00323C6D"/>
    <w:rsid w:val="00323CF8"/>
    <w:rsid w:val="00323FAB"/>
    <w:rsid w:val="003241F7"/>
    <w:rsid w:val="0032429C"/>
    <w:rsid w:val="00324340"/>
    <w:rsid w:val="0032434C"/>
    <w:rsid w:val="00324791"/>
    <w:rsid w:val="003247E1"/>
    <w:rsid w:val="00324BD5"/>
    <w:rsid w:val="0032561C"/>
    <w:rsid w:val="00325A96"/>
    <w:rsid w:val="00325C79"/>
    <w:rsid w:val="00326734"/>
    <w:rsid w:val="0032688E"/>
    <w:rsid w:val="00326C78"/>
    <w:rsid w:val="00326F3F"/>
    <w:rsid w:val="003272B6"/>
    <w:rsid w:val="003277EE"/>
    <w:rsid w:val="00327ABD"/>
    <w:rsid w:val="003307D1"/>
    <w:rsid w:val="00330F62"/>
    <w:rsid w:val="003318BA"/>
    <w:rsid w:val="00331B15"/>
    <w:rsid w:val="00331DBD"/>
    <w:rsid w:val="0033221E"/>
    <w:rsid w:val="003322B3"/>
    <w:rsid w:val="003322D1"/>
    <w:rsid w:val="003342CF"/>
    <w:rsid w:val="00334DFE"/>
    <w:rsid w:val="00335016"/>
    <w:rsid w:val="003356AF"/>
    <w:rsid w:val="00335980"/>
    <w:rsid w:val="00335BD9"/>
    <w:rsid w:val="00335FE9"/>
    <w:rsid w:val="00336524"/>
    <w:rsid w:val="00336833"/>
    <w:rsid w:val="00336E5F"/>
    <w:rsid w:val="0033746D"/>
    <w:rsid w:val="00337A2A"/>
    <w:rsid w:val="00337BE2"/>
    <w:rsid w:val="00337CC6"/>
    <w:rsid w:val="00340B66"/>
    <w:rsid w:val="003420FD"/>
    <w:rsid w:val="003421BB"/>
    <w:rsid w:val="00343AB7"/>
    <w:rsid w:val="003447C7"/>
    <w:rsid w:val="00345192"/>
    <w:rsid w:val="00346ECE"/>
    <w:rsid w:val="003474C6"/>
    <w:rsid w:val="0035023A"/>
    <w:rsid w:val="003503F3"/>
    <w:rsid w:val="0035064B"/>
    <w:rsid w:val="00350C5E"/>
    <w:rsid w:val="00351AED"/>
    <w:rsid w:val="00351BC3"/>
    <w:rsid w:val="00352037"/>
    <w:rsid w:val="003525DF"/>
    <w:rsid w:val="00352CBB"/>
    <w:rsid w:val="00352CDB"/>
    <w:rsid w:val="0035336A"/>
    <w:rsid w:val="00353869"/>
    <w:rsid w:val="003538B8"/>
    <w:rsid w:val="00353F36"/>
    <w:rsid w:val="003540E5"/>
    <w:rsid w:val="003542F9"/>
    <w:rsid w:val="003543DA"/>
    <w:rsid w:val="003544CB"/>
    <w:rsid w:val="00354981"/>
    <w:rsid w:val="00355055"/>
    <w:rsid w:val="00355647"/>
    <w:rsid w:val="003557CF"/>
    <w:rsid w:val="00355858"/>
    <w:rsid w:val="00355FA1"/>
    <w:rsid w:val="003565A0"/>
    <w:rsid w:val="003569FD"/>
    <w:rsid w:val="00356BF2"/>
    <w:rsid w:val="00356DA5"/>
    <w:rsid w:val="00357386"/>
    <w:rsid w:val="00357630"/>
    <w:rsid w:val="00357795"/>
    <w:rsid w:val="00357B9F"/>
    <w:rsid w:val="003606A6"/>
    <w:rsid w:val="00360A98"/>
    <w:rsid w:val="003611D7"/>
    <w:rsid w:val="00361803"/>
    <w:rsid w:val="00361A70"/>
    <w:rsid w:val="00361C06"/>
    <w:rsid w:val="00361FA7"/>
    <w:rsid w:val="0036205B"/>
    <w:rsid w:val="00362134"/>
    <w:rsid w:val="003623B2"/>
    <w:rsid w:val="003625F3"/>
    <w:rsid w:val="00362AD9"/>
    <w:rsid w:val="00362B32"/>
    <w:rsid w:val="00362D90"/>
    <w:rsid w:val="00363A5C"/>
    <w:rsid w:val="003643E3"/>
    <w:rsid w:val="003644B8"/>
    <w:rsid w:val="00364BC4"/>
    <w:rsid w:val="003655CC"/>
    <w:rsid w:val="00365700"/>
    <w:rsid w:val="00365CCC"/>
    <w:rsid w:val="00366191"/>
    <w:rsid w:val="00366302"/>
    <w:rsid w:val="00366900"/>
    <w:rsid w:val="00367A7B"/>
    <w:rsid w:val="0037055C"/>
    <w:rsid w:val="00370BE1"/>
    <w:rsid w:val="00371230"/>
    <w:rsid w:val="00371610"/>
    <w:rsid w:val="00371C05"/>
    <w:rsid w:val="0037294A"/>
    <w:rsid w:val="00372E4A"/>
    <w:rsid w:val="003736EA"/>
    <w:rsid w:val="00373EBD"/>
    <w:rsid w:val="00373F69"/>
    <w:rsid w:val="003742D1"/>
    <w:rsid w:val="003752DC"/>
    <w:rsid w:val="00375491"/>
    <w:rsid w:val="00376BA7"/>
    <w:rsid w:val="00377153"/>
    <w:rsid w:val="00377B29"/>
    <w:rsid w:val="00377B9A"/>
    <w:rsid w:val="00380042"/>
    <w:rsid w:val="00380288"/>
    <w:rsid w:val="00380447"/>
    <w:rsid w:val="003806E7"/>
    <w:rsid w:val="00380980"/>
    <w:rsid w:val="00380A04"/>
    <w:rsid w:val="00380A99"/>
    <w:rsid w:val="00380C9D"/>
    <w:rsid w:val="00381B5F"/>
    <w:rsid w:val="00381E37"/>
    <w:rsid w:val="00381F14"/>
    <w:rsid w:val="003829E7"/>
    <w:rsid w:val="00382C3E"/>
    <w:rsid w:val="00382C94"/>
    <w:rsid w:val="00382EB9"/>
    <w:rsid w:val="0038300F"/>
    <w:rsid w:val="00384050"/>
    <w:rsid w:val="00384BA8"/>
    <w:rsid w:val="00384C8D"/>
    <w:rsid w:val="00385085"/>
    <w:rsid w:val="00385585"/>
    <w:rsid w:val="00385618"/>
    <w:rsid w:val="003857CF"/>
    <w:rsid w:val="00385C4D"/>
    <w:rsid w:val="003862FE"/>
    <w:rsid w:val="003865B0"/>
    <w:rsid w:val="00387253"/>
    <w:rsid w:val="00387452"/>
    <w:rsid w:val="00387868"/>
    <w:rsid w:val="00387ACF"/>
    <w:rsid w:val="00390F25"/>
    <w:rsid w:val="0039176F"/>
    <w:rsid w:val="00391A96"/>
    <w:rsid w:val="00391D0A"/>
    <w:rsid w:val="00392C0E"/>
    <w:rsid w:val="00392EA8"/>
    <w:rsid w:val="00392FC6"/>
    <w:rsid w:val="0039398E"/>
    <w:rsid w:val="00393E87"/>
    <w:rsid w:val="003941CC"/>
    <w:rsid w:val="00394EB4"/>
    <w:rsid w:val="00395FE3"/>
    <w:rsid w:val="003964A9"/>
    <w:rsid w:val="00397494"/>
    <w:rsid w:val="0039753E"/>
    <w:rsid w:val="003976A2"/>
    <w:rsid w:val="003976E3"/>
    <w:rsid w:val="003977DF"/>
    <w:rsid w:val="00397988"/>
    <w:rsid w:val="003A00B9"/>
    <w:rsid w:val="003A00F2"/>
    <w:rsid w:val="003A09EE"/>
    <w:rsid w:val="003A0A21"/>
    <w:rsid w:val="003A0C5D"/>
    <w:rsid w:val="003A0ECE"/>
    <w:rsid w:val="003A114D"/>
    <w:rsid w:val="003A1CCF"/>
    <w:rsid w:val="003A2D56"/>
    <w:rsid w:val="003A3400"/>
    <w:rsid w:val="003A41AB"/>
    <w:rsid w:val="003A4230"/>
    <w:rsid w:val="003A47A6"/>
    <w:rsid w:val="003A4C16"/>
    <w:rsid w:val="003A52D4"/>
    <w:rsid w:val="003A55E7"/>
    <w:rsid w:val="003A5960"/>
    <w:rsid w:val="003A5D02"/>
    <w:rsid w:val="003A5FE6"/>
    <w:rsid w:val="003A60BD"/>
    <w:rsid w:val="003A6EC8"/>
    <w:rsid w:val="003A7718"/>
    <w:rsid w:val="003A786A"/>
    <w:rsid w:val="003A7FD6"/>
    <w:rsid w:val="003B01A8"/>
    <w:rsid w:val="003B03D5"/>
    <w:rsid w:val="003B04C5"/>
    <w:rsid w:val="003B06D5"/>
    <w:rsid w:val="003B0963"/>
    <w:rsid w:val="003B0D50"/>
    <w:rsid w:val="003B10E9"/>
    <w:rsid w:val="003B11A7"/>
    <w:rsid w:val="003B152A"/>
    <w:rsid w:val="003B1FBB"/>
    <w:rsid w:val="003B2B9E"/>
    <w:rsid w:val="003B3225"/>
    <w:rsid w:val="003B39BB"/>
    <w:rsid w:val="003B4525"/>
    <w:rsid w:val="003B4A3A"/>
    <w:rsid w:val="003B4AC6"/>
    <w:rsid w:val="003B524E"/>
    <w:rsid w:val="003B5378"/>
    <w:rsid w:val="003B53D3"/>
    <w:rsid w:val="003B5868"/>
    <w:rsid w:val="003B5F7E"/>
    <w:rsid w:val="003B63F9"/>
    <w:rsid w:val="003B751B"/>
    <w:rsid w:val="003B772C"/>
    <w:rsid w:val="003C020B"/>
    <w:rsid w:val="003C03D2"/>
    <w:rsid w:val="003C0427"/>
    <w:rsid w:val="003C076E"/>
    <w:rsid w:val="003C08EC"/>
    <w:rsid w:val="003C0F01"/>
    <w:rsid w:val="003C1746"/>
    <w:rsid w:val="003C17C2"/>
    <w:rsid w:val="003C2054"/>
    <w:rsid w:val="003C230F"/>
    <w:rsid w:val="003C2CFE"/>
    <w:rsid w:val="003C311E"/>
    <w:rsid w:val="003C33B5"/>
    <w:rsid w:val="003C3820"/>
    <w:rsid w:val="003C3A0E"/>
    <w:rsid w:val="003C471C"/>
    <w:rsid w:val="003C4748"/>
    <w:rsid w:val="003C4D4A"/>
    <w:rsid w:val="003C50AC"/>
    <w:rsid w:val="003C6305"/>
    <w:rsid w:val="003C7818"/>
    <w:rsid w:val="003D000D"/>
    <w:rsid w:val="003D04AF"/>
    <w:rsid w:val="003D0771"/>
    <w:rsid w:val="003D17DF"/>
    <w:rsid w:val="003D29DD"/>
    <w:rsid w:val="003D3170"/>
    <w:rsid w:val="003D3318"/>
    <w:rsid w:val="003D41C6"/>
    <w:rsid w:val="003D4B07"/>
    <w:rsid w:val="003D4C15"/>
    <w:rsid w:val="003D4CAC"/>
    <w:rsid w:val="003D4DDB"/>
    <w:rsid w:val="003D5495"/>
    <w:rsid w:val="003D58B7"/>
    <w:rsid w:val="003D5B07"/>
    <w:rsid w:val="003D5F13"/>
    <w:rsid w:val="003D6186"/>
    <w:rsid w:val="003D6884"/>
    <w:rsid w:val="003D70A3"/>
    <w:rsid w:val="003D7308"/>
    <w:rsid w:val="003D763B"/>
    <w:rsid w:val="003D7E0E"/>
    <w:rsid w:val="003E02E9"/>
    <w:rsid w:val="003E133C"/>
    <w:rsid w:val="003E1856"/>
    <w:rsid w:val="003E1BDB"/>
    <w:rsid w:val="003E1FBB"/>
    <w:rsid w:val="003E2014"/>
    <w:rsid w:val="003E21DC"/>
    <w:rsid w:val="003E2951"/>
    <w:rsid w:val="003E2C40"/>
    <w:rsid w:val="003E2D87"/>
    <w:rsid w:val="003E2EA3"/>
    <w:rsid w:val="003E2F82"/>
    <w:rsid w:val="003E41F7"/>
    <w:rsid w:val="003E425E"/>
    <w:rsid w:val="003E4383"/>
    <w:rsid w:val="003E5046"/>
    <w:rsid w:val="003E60DE"/>
    <w:rsid w:val="003E6F43"/>
    <w:rsid w:val="003E74D1"/>
    <w:rsid w:val="003E7AFA"/>
    <w:rsid w:val="003E7D12"/>
    <w:rsid w:val="003E7FC0"/>
    <w:rsid w:val="003F0781"/>
    <w:rsid w:val="003F1093"/>
    <w:rsid w:val="003F147F"/>
    <w:rsid w:val="003F16D9"/>
    <w:rsid w:val="003F1B08"/>
    <w:rsid w:val="003F25B0"/>
    <w:rsid w:val="003F2827"/>
    <w:rsid w:val="003F2F67"/>
    <w:rsid w:val="003F32EC"/>
    <w:rsid w:val="003F3392"/>
    <w:rsid w:val="003F34B2"/>
    <w:rsid w:val="003F3F8C"/>
    <w:rsid w:val="003F49AD"/>
    <w:rsid w:val="003F4E7A"/>
    <w:rsid w:val="003F5090"/>
    <w:rsid w:val="003F5DE7"/>
    <w:rsid w:val="003F6911"/>
    <w:rsid w:val="003F6F91"/>
    <w:rsid w:val="003F7AEE"/>
    <w:rsid w:val="003F7E61"/>
    <w:rsid w:val="004005B4"/>
    <w:rsid w:val="004006BE"/>
    <w:rsid w:val="00400861"/>
    <w:rsid w:val="00400F82"/>
    <w:rsid w:val="00401517"/>
    <w:rsid w:val="0040233B"/>
    <w:rsid w:val="00402C08"/>
    <w:rsid w:val="00402F02"/>
    <w:rsid w:val="00402F15"/>
    <w:rsid w:val="00402F60"/>
    <w:rsid w:val="0040345B"/>
    <w:rsid w:val="004035BA"/>
    <w:rsid w:val="00403B4E"/>
    <w:rsid w:val="0040430B"/>
    <w:rsid w:val="00404469"/>
    <w:rsid w:val="00405BC3"/>
    <w:rsid w:val="00405DC8"/>
    <w:rsid w:val="004062CF"/>
    <w:rsid w:val="004065A6"/>
    <w:rsid w:val="00406816"/>
    <w:rsid w:val="00406BA1"/>
    <w:rsid w:val="00406EC7"/>
    <w:rsid w:val="004070A1"/>
    <w:rsid w:val="00407395"/>
    <w:rsid w:val="00407ED0"/>
    <w:rsid w:val="004102A1"/>
    <w:rsid w:val="004104EB"/>
    <w:rsid w:val="00410FEF"/>
    <w:rsid w:val="004118B2"/>
    <w:rsid w:val="00411ACC"/>
    <w:rsid w:val="0041232A"/>
    <w:rsid w:val="00412364"/>
    <w:rsid w:val="00412453"/>
    <w:rsid w:val="00412BD6"/>
    <w:rsid w:val="00413242"/>
    <w:rsid w:val="00413445"/>
    <w:rsid w:val="00413CF1"/>
    <w:rsid w:val="00413FA1"/>
    <w:rsid w:val="00414222"/>
    <w:rsid w:val="00414C51"/>
    <w:rsid w:val="004153CA"/>
    <w:rsid w:val="00415AC7"/>
    <w:rsid w:val="00415F25"/>
    <w:rsid w:val="004165F0"/>
    <w:rsid w:val="00416680"/>
    <w:rsid w:val="00416DD5"/>
    <w:rsid w:val="004173A0"/>
    <w:rsid w:val="00417584"/>
    <w:rsid w:val="00420207"/>
    <w:rsid w:val="004205C5"/>
    <w:rsid w:val="00420950"/>
    <w:rsid w:val="00420A9F"/>
    <w:rsid w:val="00420ED1"/>
    <w:rsid w:val="00420F90"/>
    <w:rsid w:val="004215A5"/>
    <w:rsid w:val="00421987"/>
    <w:rsid w:val="00421C6B"/>
    <w:rsid w:val="00421C89"/>
    <w:rsid w:val="00421DD5"/>
    <w:rsid w:val="00422012"/>
    <w:rsid w:val="004220C1"/>
    <w:rsid w:val="004225FF"/>
    <w:rsid w:val="0042269B"/>
    <w:rsid w:val="004226E5"/>
    <w:rsid w:val="00422F4C"/>
    <w:rsid w:val="004230CC"/>
    <w:rsid w:val="00423B6D"/>
    <w:rsid w:val="0042417C"/>
    <w:rsid w:val="00424338"/>
    <w:rsid w:val="00424844"/>
    <w:rsid w:val="00425D02"/>
    <w:rsid w:val="00425E9A"/>
    <w:rsid w:val="004271BE"/>
    <w:rsid w:val="00427247"/>
    <w:rsid w:val="004277D9"/>
    <w:rsid w:val="00427B46"/>
    <w:rsid w:val="00427F81"/>
    <w:rsid w:val="00430F46"/>
    <w:rsid w:val="0043124B"/>
    <w:rsid w:val="00431490"/>
    <w:rsid w:val="00431E5D"/>
    <w:rsid w:val="00432087"/>
    <w:rsid w:val="004321E6"/>
    <w:rsid w:val="00432A99"/>
    <w:rsid w:val="00432FF2"/>
    <w:rsid w:val="004331A1"/>
    <w:rsid w:val="00433844"/>
    <w:rsid w:val="00433957"/>
    <w:rsid w:val="00433A8E"/>
    <w:rsid w:val="0043415A"/>
    <w:rsid w:val="00434174"/>
    <w:rsid w:val="004347C6"/>
    <w:rsid w:val="00434D2C"/>
    <w:rsid w:val="00436066"/>
    <w:rsid w:val="00436613"/>
    <w:rsid w:val="00436626"/>
    <w:rsid w:val="004373B1"/>
    <w:rsid w:val="00437FF5"/>
    <w:rsid w:val="0044060A"/>
    <w:rsid w:val="0044061B"/>
    <w:rsid w:val="00440ABB"/>
    <w:rsid w:val="00440C10"/>
    <w:rsid w:val="00441291"/>
    <w:rsid w:val="0044173D"/>
    <w:rsid w:val="00441BF6"/>
    <w:rsid w:val="00442187"/>
    <w:rsid w:val="004421D6"/>
    <w:rsid w:val="00442215"/>
    <w:rsid w:val="004424E7"/>
    <w:rsid w:val="004435E8"/>
    <w:rsid w:val="00443702"/>
    <w:rsid w:val="0044412E"/>
    <w:rsid w:val="00444192"/>
    <w:rsid w:val="0044451D"/>
    <w:rsid w:val="004457BB"/>
    <w:rsid w:val="00445DEE"/>
    <w:rsid w:val="00446522"/>
    <w:rsid w:val="00446719"/>
    <w:rsid w:val="00446CCB"/>
    <w:rsid w:val="00446D1F"/>
    <w:rsid w:val="00446D7D"/>
    <w:rsid w:val="00446E0D"/>
    <w:rsid w:val="004478FF"/>
    <w:rsid w:val="0045088F"/>
    <w:rsid w:val="004511BF"/>
    <w:rsid w:val="004513FE"/>
    <w:rsid w:val="004519FF"/>
    <w:rsid w:val="00452437"/>
    <w:rsid w:val="00452815"/>
    <w:rsid w:val="004528A6"/>
    <w:rsid w:val="00453441"/>
    <w:rsid w:val="0045381D"/>
    <w:rsid w:val="00453AA6"/>
    <w:rsid w:val="0045439E"/>
    <w:rsid w:val="00454699"/>
    <w:rsid w:val="004546F7"/>
    <w:rsid w:val="00454F6E"/>
    <w:rsid w:val="00455166"/>
    <w:rsid w:val="0045537F"/>
    <w:rsid w:val="004558C8"/>
    <w:rsid w:val="00455947"/>
    <w:rsid w:val="00455A00"/>
    <w:rsid w:val="00455A28"/>
    <w:rsid w:val="00455DDE"/>
    <w:rsid w:val="00456AB2"/>
    <w:rsid w:val="00456AB9"/>
    <w:rsid w:val="004574F1"/>
    <w:rsid w:val="00457F36"/>
    <w:rsid w:val="00460288"/>
    <w:rsid w:val="00460708"/>
    <w:rsid w:val="0046102E"/>
    <w:rsid w:val="0046178F"/>
    <w:rsid w:val="004617CD"/>
    <w:rsid w:val="004626F4"/>
    <w:rsid w:val="00462747"/>
    <w:rsid w:val="00462B4C"/>
    <w:rsid w:val="00463759"/>
    <w:rsid w:val="004641EB"/>
    <w:rsid w:val="004646FC"/>
    <w:rsid w:val="00464BA9"/>
    <w:rsid w:val="004655B4"/>
    <w:rsid w:val="004655CB"/>
    <w:rsid w:val="0046598C"/>
    <w:rsid w:val="00465A6B"/>
    <w:rsid w:val="0046645A"/>
    <w:rsid w:val="00466E2F"/>
    <w:rsid w:val="00466E61"/>
    <w:rsid w:val="00467AF4"/>
    <w:rsid w:val="004701DE"/>
    <w:rsid w:val="004707BA"/>
    <w:rsid w:val="00470B10"/>
    <w:rsid w:val="00470BFC"/>
    <w:rsid w:val="00470DD9"/>
    <w:rsid w:val="00470F00"/>
    <w:rsid w:val="00471644"/>
    <w:rsid w:val="00471FF5"/>
    <w:rsid w:val="004724FD"/>
    <w:rsid w:val="0047480A"/>
    <w:rsid w:val="0047484E"/>
    <w:rsid w:val="004748EB"/>
    <w:rsid w:val="0047520A"/>
    <w:rsid w:val="0047579E"/>
    <w:rsid w:val="004774C6"/>
    <w:rsid w:val="00477D0E"/>
    <w:rsid w:val="00477E70"/>
    <w:rsid w:val="004800CA"/>
    <w:rsid w:val="004806F2"/>
    <w:rsid w:val="00481355"/>
    <w:rsid w:val="0048161F"/>
    <w:rsid w:val="00482815"/>
    <w:rsid w:val="00482B98"/>
    <w:rsid w:val="00483562"/>
    <w:rsid w:val="00483FB0"/>
    <w:rsid w:val="00484327"/>
    <w:rsid w:val="004845B9"/>
    <w:rsid w:val="0048545A"/>
    <w:rsid w:val="00485642"/>
    <w:rsid w:val="00485896"/>
    <w:rsid w:val="00485A08"/>
    <w:rsid w:val="004861EA"/>
    <w:rsid w:val="004869A7"/>
    <w:rsid w:val="00486B68"/>
    <w:rsid w:val="00487571"/>
    <w:rsid w:val="004875C0"/>
    <w:rsid w:val="00487764"/>
    <w:rsid w:val="00490535"/>
    <w:rsid w:val="00490A20"/>
    <w:rsid w:val="00490A78"/>
    <w:rsid w:val="00491786"/>
    <w:rsid w:val="00491EB6"/>
    <w:rsid w:val="004925F9"/>
    <w:rsid w:val="0049275D"/>
    <w:rsid w:val="00492915"/>
    <w:rsid w:val="004929B4"/>
    <w:rsid w:val="00492B0E"/>
    <w:rsid w:val="0049367C"/>
    <w:rsid w:val="00493B35"/>
    <w:rsid w:val="004942FC"/>
    <w:rsid w:val="00494D0C"/>
    <w:rsid w:val="00494D21"/>
    <w:rsid w:val="00494E45"/>
    <w:rsid w:val="00494EBD"/>
    <w:rsid w:val="00495631"/>
    <w:rsid w:val="00495F8C"/>
    <w:rsid w:val="00495FB0"/>
    <w:rsid w:val="00496110"/>
    <w:rsid w:val="00496884"/>
    <w:rsid w:val="00496B69"/>
    <w:rsid w:val="00496CAF"/>
    <w:rsid w:val="00497556"/>
    <w:rsid w:val="00497635"/>
    <w:rsid w:val="004A0905"/>
    <w:rsid w:val="004A0D4E"/>
    <w:rsid w:val="004A1C26"/>
    <w:rsid w:val="004A1FF0"/>
    <w:rsid w:val="004A248D"/>
    <w:rsid w:val="004A2859"/>
    <w:rsid w:val="004A371B"/>
    <w:rsid w:val="004A3960"/>
    <w:rsid w:val="004A3B92"/>
    <w:rsid w:val="004A3D86"/>
    <w:rsid w:val="004A4572"/>
    <w:rsid w:val="004A4933"/>
    <w:rsid w:val="004A56EE"/>
    <w:rsid w:val="004A5D43"/>
    <w:rsid w:val="004A671B"/>
    <w:rsid w:val="004A72EC"/>
    <w:rsid w:val="004A7890"/>
    <w:rsid w:val="004B004A"/>
    <w:rsid w:val="004B01BE"/>
    <w:rsid w:val="004B0248"/>
    <w:rsid w:val="004B1FE1"/>
    <w:rsid w:val="004B24F1"/>
    <w:rsid w:val="004B255F"/>
    <w:rsid w:val="004B2B8E"/>
    <w:rsid w:val="004B2DCD"/>
    <w:rsid w:val="004B4188"/>
    <w:rsid w:val="004B45FF"/>
    <w:rsid w:val="004B491D"/>
    <w:rsid w:val="004B4A29"/>
    <w:rsid w:val="004B4FCA"/>
    <w:rsid w:val="004B51AF"/>
    <w:rsid w:val="004B522D"/>
    <w:rsid w:val="004B566A"/>
    <w:rsid w:val="004B74C3"/>
    <w:rsid w:val="004C0D0E"/>
    <w:rsid w:val="004C0F3C"/>
    <w:rsid w:val="004C27AB"/>
    <w:rsid w:val="004C2C3D"/>
    <w:rsid w:val="004C3BE5"/>
    <w:rsid w:val="004C4281"/>
    <w:rsid w:val="004C42F0"/>
    <w:rsid w:val="004C434C"/>
    <w:rsid w:val="004C474A"/>
    <w:rsid w:val="004C51D9"/>
    <w:rsid w:val="004C58C2"/>
    <w:rsid w:val="004C5AEB"/>
    <w:rsid w:val="004C5E03"/>
    <w:rsid w:val="004C5E2B"/>
    <w:rsid w:val="004C650C"/>
    <w:rsid w:val="004C66B0"/>
    <w:rsid w:val="004C7706"/>
    <w:rsid w:val="004C7710"/>
    <w:rsid w:val="004C7AB4"/>
    <w:rsid w:val="004C7D80"/>
    <w:rsid w:val="004C7E4A"/>
    <w:rsid w:val="004D00C3"/>
    <w:rsid w:val="004D061F"/>
    <w:rsid w:val="004D08DF"/>
    <w:rsid w:val="004D0FE0"/>
    <w:rsid w:val="004D1467"/>
    <w:rsid w:val="004D2508"/>
    <w:rsid w:val="004D2CE2"/>
    <w:rsid w:val="004D3808"/>
    <w:rsid w:val="004D39A8"/>
    <w:rsid w:val="004D3B37"/>
    <w:rsid w:val="004D3EB7"/>
    <w:rsid w:val="004D419D"/>
    <w:rsid w:val="004D52FC"/>
    <w:rsid w:val="004D53EB"/>
    <w:rsid w:val="004D5685"/>
    <w:rsid w:val="004D6053"/>
    <w:rsid w:val="004D6B84"/>
    <w:rsid w:val="004E0516"/>
    <w:rsid w:val="004E14A2"/>
    <w:rsid w:val="004E268E"/>
    <w:rsid w:val="004E2A10"/>
    <w:rsid w:val="004E2EA8"/>
    <w:rsid w:val="004E2EEE"/>
    <w:rsid w:val="004E444D"/>
    <w:rsid w:val="004E46DC"/>
    <w:rsid w:val="004E4DDE"/>
    <w:rsid w:val="004E5302"/>
    <w:rsid w:val="004E53C3"/>
    <w:rsid w:val="004E57A1"/>
    <w:rsid w:val="004E63B1"/>
    <w:rsid w:val="004E69E7"/>
    <w:rsid w:val="004E6ABD"/>
    <w:rsid w:val="004E6F7B"/>
    <w:rsid w:val="004E7A5E"/>
    <w:rsid w:val="004E7CA8"/>
    <w:rsid w:val="004F0153"/>
    <w:rsid w:val="004F102D"/>
    <w:rsid w:val="004F1110"/>
    <w:rsid w:val="004F209E"/>
    <w:rsid w:val="004F227A"/>
    <w:rsid w:val="004F28E0"/>
    <w:rsid w:val="004F2F52"/>
    <w:rsid w:val="004F2FC1"/>
    <w:rsid w:val="004F4381"/>
    <w:rsid w:val="004F4C5B"/>
    <w:rsid w:val="004F53C3"/>
    <w:rsid w:val="004F56B9"/>
    <w:rsid w:val="004F5968"/>
    <w:rsid w:val="004F5CC5"/>
    <w:rsid w:val="004F6334"/>
    <w:rsid w:val="004F64FE"/>
    <w:rsid w:val="004F7ABF"/>
    <w:rsid w:val="005007F4"/>
    <w:rsid w:val="00500FB0"/>
    <w:rsid w:val="005012A9"/>
    <w:rsid w:val="005014B8"/>
    <w:rsid w:val="00501535"/>
    <w:rsid w:val="005015D2"/>
    <w:rsid w:val="00501E5C"/>
    <w:rsid w:val="005024D0"/>
    <w:rsid w:val="005027A0"/>
    <w:rsid w:val="005027CA"/>
    <w:rsid w:val="00502CC4"/>
    <w:rsid w:val="00502E56"/>
    <w:rsid w:val="005032A6"/>
    <w:rsid w:val="00503780"/>
    <w:rsid w:val="0050391B"/>
    <w:rsid w:val="00504A45"/>
    <w:rsid w:val="00505716"/>
    <w:rsid w:val="005057B3"/>
    <w:rsid w:val="00505828"/>
    <w:rsid w:val="00505950"/>
    <w:rsid w:val="00506120"/>
    <w:rsid w:val="0050646F"/>
    <w:rsid w:val="00506985"/>
    <w:rsid w:val="0050705E"/>
    <w:rsid w:val="005070DE"/>
    <w:rsid w:val="005073DE"/>
    <w:rsid w:val="00507978"/>
    <w:rsid w:val="00507A2E"/>
    <w:rsid w:val="00507A32"/>
    <w:rsid w:val="00507E89"/>
    <w:rsid w:val="00507FA8"/>
    <w:rsid w:val="00510C27"/>
    <w:rsid w:val="0051146E"/>
    <w:rsid w:val="0051159D"/>
    <w:rsid w:val="0051209D"/>
    <w:rsid w:val="00512403"/>
    <w:rsid w:val="005128BC"/>
    <w:rsid w:val="005129D2"/>
    <w:rsid w:val="00512A12"/>
    <w:rsid w:val="00512AE7"/>
    <w:rsid w:val="00512C38"/>
    <w:rsid w:val="00512D98"/>
    <w:rsid w:val="00512DA7"/>
    <w:rsid w:val="00513356"/>
    <w:rsid w:val="00513453"/>
    <w:rsid w:val="005154C4"/>
    <w:rsid w:val="00516739"/>
    <w:rsid w:val="00516DA2"/>
    <w:rsid w:val="0051743D"/>
    <w:rsid w:val="00517700"/>
    <w:rsid w:val="005177B8"/>
    <w:rsid w:val="00517865"/>
    <w:rsid w:val="00517CE1"/>
    <w:rsid w:val="005203B0"/>
    <w:rsid w:val="005207B0"/>
    <w:rsid w:val="00520954"/>
    <w:rsid w:val="00520E06"/>
    <w:rsid w:val="0052195D"/>
    <w:rsid w:val="005223A7"/>
    <w:rsid w:val="00522A01"/>
    <w:rsid w:val="005233EE"/>
    <w:rsid w:val="00523538"/>
    <w:rsid w:val="00523C38"/>
    <w:rsid w:val="00523D29"/>
    <w:rsid w:val="005242AA"/>
    <w:rsid w:val="0052437A"/>
    <w:rsid w:val="00524793"/>
    <w:rsid w:val="00524C98"/>
    <w:rsid w:val="00525317"/>
    <w:rsid w:val="005254B9"/>
    <w:rsid w:val="00525517"/>
    <w:rsid w:val="00525AA9"/>
    <w:rsid w:val="005263A2"/>
    <w:rsid w:val="005266CE"/>
    <w:rsid w:val="0052677F"/>
    <w:rsid w:val="00526C74"/>
    <w:rsid w:val="0052725E"/>
    <w:rsid w:val="00527ACC"/>
    <w:rsid w:val="00527F21"/>
    <w:rsid w:val="00531234"/>
    <w:rsid w:val="00531269"/>
    <w:rsid w:val="0053214D"/>
    <w:rsid w:val="0053280B"/>
    <w:rsid w:val="00532965"/>
    <w:rsid w:val="005330B3"/>
    <w:rsid w:val="005337B4"/>
    <w:rsid w:val="00533A4B"/>
    <w:rsid w:val="00533F04"/>
    <w:rsid w:val="00534258"/>
    <w:rsid w:val="00534C12"/>
    <w:rsid w:val="00535E65"/>
    <w:rsid w:val="00535E94"/>
    <w:rsid w:val="00535F29"/>
    <w:rsid w:val="00536188"/>
    <w:rsid w:val="00536881"/>
    <w:rsid w:val="00537048"/>
    <w:rsid w:val="0053736D"/>
    <w:rsid w:val="00537C7E"/>
    <w:rsid w:val="00540461"/>
    <w:rsid w:val="00541740"/>
    <w:rsid w:val="005419C0"/>
    <w:rsid w:val="00541BA3"/>
    <w:rsid w:val="00542756"/>
    <w:rsid w:val="00542A15"/>
    <w:rsid w:val="00542BC5"/>
    <w:rsid w:val="00543780"/>
    <w:rsid w:val="00543C68"/>
    <w:rsid w:val="00543F41"/>
    <w:rsid w:val="0054416E"/>
    <w:rsid w:val="005441DA"/>
    <w:rsid w:val="00544571"/>
    <w:rsid w:val="00544A76"/>
    <w:rsid w:val="00544B27"/>
    <w:rsid w:val="00544F27"/>
    <w:rsid w:val="0054560D"/>
    <w:rsid w:val="00545717"/>
    <w:rsid w:val="00545739"/>
    <w:rsid w:val="00545790"/>
    <w:rsid w:val="00545E26"/>
    <w:rsid w:val="00545E3C"/>
    <w:rsid w:val="0054610F"/>
    <w:rsid w:val="00546AD5"/>
    <w:rsid w:val="00546D46"/>
    <w:rsid w:val="005470EB"/>
    <w:rsid w:val="00547B92"/>
    <w:rsid w:val="00550188"/>
    <w:rsid w:val="00550442"/>
    <w:rsid w:val="00551388"/>
    <w:rsid w:val="005514F3"/>
    <w:rsid w:val="00551621"/>
    <w:rsid w:val="00551690"/>
    <w:rsid w:val="0055171F"/>
    <w:rsid w:val="00552861"/>
    <w:rsid w:val="0055311B"/>
    <w:rsid w:val="005531B3"/>
    <w:rsid w:val="00553603"/>
    <w:rsid w:val="005546F4"/>
    <w:rsid w:val="005548E2"/>
    <w:rsid w:val="00554CC2"/>
    <w:rsid w:val="00554E12"/>
    <w:rsid w:val="0055568C"/>
    <w:rsid w:val="00555AF7"/>
    <w:rsid w:val="00555C61"/>
    <w:rsid w:val="00555C63"/>
    <w:rsid w:val="00555F5D"/>
    <w:rsid w:val="00556D9E"/>
    <w:rsid w:val="0055702B"/>
    <w:rsid w:val="0055760E"/>
    <w:rsid w:val="005576B5"/>
    <w:rsid w:val="0055796A"/>
    <w:rsid w:val="0056198D"/>
    <w:rsid w:val="00561E33"/>
    <w:rsid w:val="00562744"/>
    <w:rsid w:val="00562F24"/>
    <w:rsid w:val="00562FDF"/>
    <w:rsid w:val="005635B0"/>
    <w:rsid w:val="00563DB0"/>
    <w:rsid w:val="00563E38"/>
    <w:rsid w:val="0056410A"/>
    <w:rsid w:val="00564779"/>
    <w:rsid w:val="00564860"/>
    <w:rsid w:val="005650A7"/>
    <w:rsid w:val="00566164"/>
    <w:rsid w:val="00566F82"/>
    <w:rsid w:val="005671AE"/>
    <w:rsid w:val="00567C16"/>
    <w:rsid w:val="005703E9"/>
    <w:rsid w:val="00570422"/>
    <w:rsid w:val="00571941"/>
    <w:rsid w:val="00572872"/>
    <w:rsid w:val="00572EBE"/>
    <w:rsid w:val="005739B1"/>
    <w:rsid w:val="00573CC4"/>
    <w:rsid w:val="0057423D"/>
    <w:rsid w:val="00574407"/>
    <w:rsid w:val="00574563"/>
    <w:rsid w:val="00574A27"/>
    <w:rsid w:val="00574DC9"/>
    <w:rsid w:val="00574EB3"/>
    <w:rsid w:val="00574F61"/>
    <w:rsid w:val="00574FFB"/>
    <w:rsid w:val="00575715"/>
    <w:rsid w:val="00575DAE"/>
    <w:rsid w:val="00576227"/>
    <w:rsid w:val="0057695C"/>
    <w:rsid w:val="0057696E"/>
    <w:rsid w:val="00577737"/>
    <w:rsid w:val="00577894"/>
    <w:rsid w:val="00580222"/>
    <w:rsid w:val="005807A5"/>
    <w:rsid w:val="005807E1"/>
    <w:rsid w:val="00580831"/>
    <w:rsid w:val="005810FA"/>
    <w:rsid w:val="00581A2E"/>
    <w:rsid w:val="00582A32"/>
    <w:rsid w:val="00582D70"/>
    <w:rsid w:val="005835D4"/>
    <w:rsid w:val="005838E8"/>
    <w:rsid w:val="00583BE4"/>
    <w:rsid w:val="00583CD4"/>
    <w:rsid w:val="00583EE8"/>
    <w:rsid w:val="005840B6"/>
    <w:rsid w:val="00584736"/>
    <w:rsid w:val="005851AE"/>
    <w:rsid w:val="00585293"/>
    <w:rsid w:val="00585727"/>
    <w:rsid w:val="0058618C"/>
    <w:rsid w:val="00586267"/>
    <w:rsid w:val="00586396"/>
    <w:rsid w:val="005863FD"/>
    <w:rsid w:val="00586AA0"/>
    <w:rsid w:val="00586B72"/>
    <w:rsid w:val="00586CC8"/>
    <w:rsid w:val="0058740F"/>
    <w:rsid w:val="005875E2"/>
    <w:rsid w:val="00587BBD"/>
    <w:rsid w:val="00590EA0"/>
    <w:rsid w:val="00591837"/>
    <w:rsid w:val="005923CA"/>
    <w:rsid w:val="00592D73"/>
    <w:rsid w:val="0059399D"/>
    <w:rsid w:val="00593E5E"/>
    <w:rsid w:val="00594335"/>
    <w:rsid w:val="0059448D"/>
    <w:rsid w:val="00594CFA"/>
    <w:rsid w:val="0059517D"/>
    <w:rsid w:val="0059561C"/>
    <w:rsid w:val="005958DB"/>
    <w:rsid w:val="00595A4F"/>
    <w:rsid w:val="00595B6A"/>
    <w:rsid w:val="00595E2D"/>
    <w:rsid w:val="00596F53"/>
    <w:rsid w:val="005972C9"/>
    <w:rsid w:val="005976C8"/>
    <w:rsid w:val="00597DE3"/>
    <w:rsid w:val="005A05F4"/>
    <w:rsid w:val="005A06C1"/>
    <w:rsid w:val="005A0B0A"/>
    <w:rsid w:val="005A0EF5"/>
    <w:rsid w:val="005A1961"/>
    <w:rsid w:val="005A1AA3"/>
    <w:rsid w:val="005A1B42"/>
    <w:rsid w:val="005A1FCE"/>
    <w:rsid w:val="005A3166"/>
    <w:rsid w:val="005A3B27"/>
    <w:rsid w:val="005A40C2"/>
    <w:rsid w:val="005A5BF8"/>
    <w:rsid w:val="005A5C46"/>
    <w:rsid w:val="005A5D5F"/>
    <w:rsid w:val="005A5EF6"/>
    <w:rsid w:val="005A5F0D"/>
    <w:rsid w:val="005A74BC"/>
    <w:rsid w:val="005A791F"/>
    <w:rsid w:val="005A7F23"/>
    <w:rsid w:val="005B027E"/>
    <w:rsid w:val="005B03F8"/>
    <w:rsid w:val="005B0AD7"/>
    <w:rsid w:val="005B12BD"/>
    <w:rsid w:val="005B22F1"/>
    <w:rsid w:val="005B2F2F"/>
    <w:rsid w:val="005B2F62"/>
    <w:rsid w:val="005B35CD"/>
    <w:rsid w:val="005B3E33"/>
    <w:rsid w:val="005B4484"/>
    <w:rsid w:val="005B44A0"/>
    <w:rsid w:val="005B471D"/>
    <w:rsid w:val="005B4B48"/>
    <w:rsid w:val="005B4F21"/>
    <w:rsid w:val="005B4FF1"/>
    <w:rsid w:val="005B6DE9"/>
    <w:rsid w:val="005B6F1D"/>
    <w:rsid w:val="005B7424"/>
    <w:rsid w:val="005B7C62"/>
    <w:rsid w:val="005B7C8B"/>
    <w:rsid w:val="005C0AE6"/>
    <w:rsid w:val="005C1458"/>
    <w:rsid w:val="005C15E9"/>
    <w:rsid w:val="005C18A0"/>
    <w:rsid w:val="005C1972"/>
    <w:rsid w:val="005C1EF5"/>
    <w:rsid w:val="005C2E86"/>
    <w:rsid w:val="005C2FD4"/>
    <w:rsid w:val="005C3C15"/>
    <w:rsid w:val="005C3FD1"/>
    <w:rsid w:val="005C4CA5"/>
    <w:rsid w:val="005C51F3"/>
    <w:rsid w:val="005C51F9"/>
    <w:rsid w:val="005C52B5"/>
    <w:rsid w:val="005C5C8D"/>
    <w:rsid w:val="005C5CE5"/>
    <w:rsid w:val="005C602F"/>
    <w:rsid w:val="005C60D7"/>
    <w:rsid w:val="005C678B"/>
    <w:rsid w:val="005C6EE3"/>
    <w:rsid w:val="005C743E"/>
    <w:rsid w:val="005C7B7A"/>
    <w:rsid w:val="005D0EBE"/>
    <w:rsid w:val="005D156D"/>
    <w:rsid w:val="005D1CAA"/>
    <w:rsid w:val="005D1F01"/>
    <w:rsid w:val="005D2532"/>
    <w:rsid w:val="005D5097"/>
    <w:rsid w:val="005D5612"/>
    <w:rsid w:val="005D5AE8"/>
    <w:rsid w:val="005D5C1E"/>
    <w:rsid w:val="005D5D2F"/>
    <w:rsid w:val="005D62BA"/>
    <w:rsid w:val="005D6806"/>
    <w:rsid w:val="005D6E93"/>
    <w:rsid w:val="005D6F81"/>
    <w:rsid w:val="005D7014"/>
    <w:rsid w:val="005D7608"/>
    <w:rsid w:val="005D78E4"/>
    <w:rsid w:val="005D7DB7"/>
    <w:rsid w:val="005E037B"/>
    <w:rsid w:val="005E0DBA"/>
    <w:rsid w:val="005E0F4A"/>
    <w:rsid w:val="005E11C7"/>
    <w:rsid w:val="005E147B"/>
    <w:rsid w:val="005E1BE9"/>
    <w:rsid w:val="005E25E5"/>
    <w:rsid w:val="005E2756"/>
    <w:rsid w:val="005E2B13"/>
    <w:rsid w:val="005E2BE0"/>
    <w:rsid w:val="005E2E42"/>
    <w:rsid w:val="005E3107"/>
    <w:rsid w:val="005E3BE6"/>
    <w:rsid w:val="005E3DFB"/>
    <w:rsid w:val="005E3F2A"/>
    <w:rsid w:val="005E472F"/>
    <w:rsid w:val="005E4A73"/>
    <w:rsid w:val="005E51C7"/>
    <w:rsid w:val="005E5209"/>
    <w:rsid w:val="005E5549"/>
    <w:rsid w:val="005E5F8E"/>
    <w:rsid w:val="005E7728"/>
    <w:rsid w:val="005F019B"/>
    <w:rsid w:val="005F064F"/>
    <w:rsid w:val="005F0E45"/>
    <w:rsid w:val="005F0EEF"/>
    <w:rsid w:val="005F2BE1"/>
    <w:rsid w:val="005F2C38"/>
    <w:rsid w:val="005F369E"/>
    <w:rsid w:val="005F3734"/>
    <w:rsid w:val="005F39DB"/>
    <w:rsid w:val="005F3F3F"/>
    <w:rsid w:val="005F407F"/>
    <w:rsid w:val="005F446D"/>
    <w:rsid w:val="005F45EC"/>
    <w:rsid w:val="005F4EAC"/>
    <w:rsid w:val="005F54E3"/>
    <w:rsid w:val="005F5505"/>
    <w:rsid w:val="005F5DA6"/>
    <w:rsid w:val="005F6690"/>
    <w:rsid w:val="005F7976"/>
    <w:rsid w:val="005F7AAE"/>
    <w:rsid w:val="005F7ACE"/>
    <w:rsid w:val="00600086"/>
    <w:rsid w:val="00600287"/>
    <w:rsid w:val="006002B3"/>
    <w:rsid w:val="00602580"/>
    <w:rsid w:val="00602655"/>
    <w:rsid w:val="006033AD"/>
    <w:rsid w:val="00603D4B"/>
    <w:rsid w:val="00604209"/>
    <w:rsid w:val="00604553"/>
    <w:rsid w:val="00604A37"/>
    <w:rsid w:val="006051C7"/>
    <w:rsid w:val="006051E6"/>
    <w:rsid w:val="00605611"/>
    <w:rsid w:val="00605CCC"/>
    <w:rsid w:val="006062DE"/>
    <w:rsid w:val="006065F8"/>
    <w:rsid w:val="00607436"/>
    <w:rsid w:val="006077C0"/>
    <w:rsid w:val="00610530"/>
    <w:rsid w:val="006106DE"/>
    <w:rsid w:val="0061094B"/>
    <w:rsid w:val="0061098B"/>
    <w:rsid w:val="00610E0A"/>
    <w:rsid w:val="00611A8A"/>
    <w:rsid w:val="00611ED0"/>
    <w:rsid w:val="00612DB8"/>
    <w:rsid w:val="0061306B"/>
    <w:rsid w:val="00613C23"/>
    <w:rsid w:val="00614129"/>
    <w:rsid w:val="00614474"/>
    <w:rsid w:val="00614B8D"/>
    <w:rsid w:val="00614D0C"/>
    <w:rsid w:val="00615B73"/>
    <w:rsid w:val="0061608D"/>
    <w:rsid w:val="00617749"/>
    <w:rsid w:val="00620149"/>
    <w:rsid w:val="00620CEA"/>
    <w:rsid w:val="006216BD"/>
    <w:rsid w:val="00621E19"/>
    <w:rsid w:val="00622118"/>
    <w:rsid w:val="0062212A"/>
    <w:rsid w:val="00622578"/>
    <w:rsid w:val="00622A8B"/>
    <w:rsid w:val="00622D1D"/>
    <w:rsid w:val="00623163"/>
    <w:rsid w:val="0062332C"/>
    <w:rsid w:val="0062344C"/>
    <w:rsid w:val="00623513"/>
    <w:rsid w:val="006239DB"/>
    <w:rsid w:val="00623DB6"/>
    <w:rsid w:val="0062456D"/>
    <w:rsid w:val="006245B9"/>
    <w:rsid w:val="0062473E"/>
    <w:rsid w:val="00624981"/>
    <w:rsid w:val="00624A63"/>
    <w:rsid w:val="00624ABB"/>
    <w:rsid w:val="006262A9"/>
    <w:rsid w:val="00626911"/>
    <w:rsid w:val="00627B60"/>
    <w:rsid w:val="00627D59"/>
    <w:rsid w:val="00630A60"/>
    <w:rsid w:val="00630D1D"/>
    <w:rsid w:val="006316A1"/>
    <w:rsid w:val="00631B33"/>
    <w:rsid w:val="00631B4A"/>
    <w:rsid w:val="00631DE0"/>
    <w:rsid w:val="00631F32"/>
    <w:rsid w:val="006321E8"/>
    <w:rsid w:val="006324BC"/>
    <w:rsid w:val="00632B85"/>
    <w:rsid w:val="00632CBC"/>
    <w:rsid w:val="00632EBF"/>
    <w:rsid w:val="00633334"/>
    <w:rsid w:val="006334E3"/>
    <w:rsid w:val="00633AD6"/>
    <w:rsid w:val="00634177"/>
    <w:rsid w:val="00634996"/>
    <w:rsid w:val="00634BC0"/>
    <w:rsid w:val="00634D9D"/>
    <w:rsid w:val="00635178"/>
    <w:rsid w:val="00635295"/>
    <w:rsid w:val="00635847"/>
    <w:rsid w:val="0063680D"/>
    <w:rsid w:val="00636951"/>
    <w:rsid w:val="00636CF2"/>
    <w:rsid w:val="00636E47"/>
    <w:rsid w:val="00637156"/>
    <w:rsid w:val="006373F8"/>
    <w:rsid w:val="006379B0"/>
    <w:rsid w:val="0064056B"/>
    <w:rsid w:val="006408E4"/>
    <w:rsid w:val="00641412"/>
    <w:rsid w:val="00641439"/>
    <w:rsid w:val="006415C8"/>
    <w:rsid w:val="006418F8"/>
    <w:rsid w:val="00641916"/>
    <w:rsid w:val="00641D48"/>
    <w:rsid w:val="006424D3"/>
    <w:rsid w:val="006424FB"/>
    <w:rsid w:val="00642A91"/>
    <w:rsid w:val="00642B7E"/>
    <w:rsid w:val="00642CF8"/>
    <w:rsid w:val="00643301"/>
    <w:rsid w:val="00643F14"/>
    <w:rsid w:val="00644419"/>
    <w:rsid w:val="00645874"/>
    <w:rsid w:val="00645A55"/>
    <w:rsid w:val="00645F6F"/>
    <w:rsid w:val="00645FB7"/>
    <w:rsid w:val="006460C9"/>
    <w:rsid w:val="0064650D"/>
    <w:rsid w:val="00646741"/>
    <w:rsid w:val="00646CEA"/>
    <w:rsid w:val="006479A4"/>
    <w:rsid w:val="00650B26"/>
    <w:rsid w:val="00651142"/>
    <w:rsid w:val="006512ED"/>
    <w:rsid w:val="00651719"/>
    <w:rsid w:val="006518A5"/>
    <w:rsid w:val="00651A13"/>
    <w:rsid w:val="00651C80"/>
    <w:rsid w:val="00652D5F"/>
    <w:rsid w:val="00653841"/>
    <w:rsid w:val="00653D8A"/>
    <w:rsid w:val="006543BA"/>
    <w:rsid w:val="0065454C"/>
    <w:rsid w:val="0065469E"/>
    <w:rsid w:val="0065479E"/>
    <w:rsid w:val="00654F07"/>
    <w:rsid w:val="006554E0"/>
    <w:rsid w:val="006555C7"/>
    <w:rsid w:val="00655EDB"/>
    <w:rsid w:val="00656585"/>
    <w:rsid w:val="00656A3F"/>
    <w:rsid w:val="00656BD2"/>
    <w:rsid w:val="00656E5D"/>
    <w:rsid w:val="00657594"/>
    <w:rsid w:val="006575B2"/>
    <w:rsid w:val="00657C27"/>
    <w:rsid w:val="00657CDC"/>
    <w:rsid w:val="006615E1"/>
    <w:rsid w:val="0066160E"/>
    <w:rsid w:val="006616D5"/>
    <w:rsid w:val="0066187B"/>
    <w:rsid w:val="00661978"/>
    <w:rsid w:val="0066218E"/>
    <w:rsid w:val="00662CC4"/>
    <w:rsid w:val="00662EF2"/>
    <w:rsid w:val="00662FBA"/>
    <w:rsid w:val="0066361A"/>
    <w:rsid w:val="00663BB6"/>
    <w:rsid w:val="00664931"/>
    <w:rsid w:val="0066529E"/>
    <w:rsid w:val="00665467"/>
    <w:rsid w:val="0066554A"/>
    <w:rsid w:val="00665CBE"/>
    <w:rsid w:val="006668CB"/>
    <w:rsid w:val="00666E8D"/>
    <w:rsid w:val="00670029"/>
    <w:rsid w:val="00670554"/>
    <w:rsid w:val="00670807"/>
    <w:rsid w:val="006715A5"/>
    <w:rsid w:val="00671788"/>
    <w:rsid w:val="00672479"/>
    <w:rsid w:val="00672794"/>
    <w:rsid w:val="006732E7"/>
    <w:rsid w:val="006733FF"/>
    <w:rsid w:val="006736B7"/>
    <w:rsid w:val="00673971"/>
    <w:rsid w:val="00673C11"/>
    <w:rsid w:val="00673C4E"/>
    <w:rsid w:val="0067454A"/>
    <w:rsid w:val="0067482D"/>
    <w:rsid w:val="0067532A"/>
    <w:rsid w:val="00676B53"/>
    <w:rsid w:val="006772EA"/>
    <w:rsid w:val="0067768F"/>
    <w:rsid w:val="00677CCD"/>
    <w:rsid w:val="006801CF"/>
    <w:rsid w:val="00680E3C"/>
    <w:rsid w:val="006810BA"/>
    <w:rsid w:val="00681292"/>
    <w:rsid w:val="00682059"/>
    <w:rsid w:val="006822F7"/>
    <w:rsid w:val="00684357"/>
    <w:rsid w:val="00684367"/>
    <w:rsid w:val="00685B3B"/>
    <w:rsid w:val="006867C7"/>
    <w:rsid w:val="00686A72"/>
    <w:rsid w:val="00687221"/>
    <w:rsid w:val="00687774"/>
    <w:rsid w:val="00687DBF"/>
    <w:rsid w:val="0069104F"/>
    <w:rsid w:val="0069177A"/>
    <w:rsid w:val="00692E27"/>
    <w:rsid w:val="00693228"/>
    <w:rsid w:val="00693527"/>
    <w:rsid w:val="00693A7D"/>
    <w:rsid w:val="00693E25"/>
    <w:rsid w:val="00694CDF"/>
    <w:rsid w:val="00694E3D"/>
    <w:rsid w:val="00696294"/>
    <w:rsid w:val="00697361"/>
    <w:rsid w:val="00697444"/>
    <w:rsid w:val="00697B6E"/>
    <w:rsid w:val="006A03AC"/>
    <w:rsid w:val="006A0425"/>
    <w:rsid w:val="006A0703"/>
    <w:rsid w:val="006A07EF"/>
    <w:rsid w:val="006A0C67"/>
    <w:rsid w:val="006A0DB9"/>
    <w:rsid w:val="006A0DEC"/>
    <w:rsid w:val="006A2706"/>
    <w:rsid w:val="006A27C9"/>
    <w:rsid w:val="006A2BF4"/>
    <w:rsid w:val="006A2FC7"/>
    <w:rsid w:val="006A379D"/>
    <w:rsid w:val="006A413D"/>
    <w:rsid w:val="006A44E8"/>
    <w:rsid w:val="006A47F3"/>
    <w:rsid w:val="006A4ACF"/>
    <w:rsid w:val="006A64AE"/>
    <w:rsid w:val="006A65A0"/>
    <w:rsid w:val="006A6B3A"/>
    <w:rsid w:val="006A6CA2"/>
    <w:rsid w:val="006A6D39"/>
    <w:rsid w:val="006A6DEE"/>
    <w:rsid w:val="006A771F"/>
    <w:rsid w:val="006A7EE9"/>
    <w:rsid w:val="006AC335"/>
    <w:rsid w:val="006B0099"/>
    <w:rsid w:val="006B0200"/>
    <w:rsid w:val="006B02AA"/>
    <w:rsid w:val="006B16EA"/>
    <w:rsid w:val="006B173F"/>
    <w:rsid w:val="006B1A69"/>
    <w:rsid w:val="006B1A79"/>
    <w:rsid w:val="006B2A42"/>
    <w:rsid w:val="006B367A"/>
    <w:rsid w:val="006B3F3B"/>
    <w:rsid w:val="006B3F93"/>
    <w:rsid w:val="006B4513"/>
    <w:rsid w:val="006B4663"/>
    <w:rsid w:val="006B5C46"/>
    <w:rsid w:val="006B5DA3"/>
    <w:rsid w:val="006B5E21"/>
    <w:rsid w:val="006B5F3A"/>
    <w:rsid w:val="006B60F9"/>
    <w:rsid w:val="006B67C8"/>
    <w:rsid w:val="006B6900"/>
    <w:rsid w:val="006B6A1A"/>
    <w:rsid w:val="006B6F73"/>
    <w:rsid w:val="006B7212"/>
    <w:rsid w:val="006B7EB0"/>
    <w:rsid w:val="006C1038"/>
    <w:rsid w:val="006C13CD"/>
    <w:rsid w:val="006C20A3"/>
    <w:rsid w:val="006C234C"/>
    <w:rsid w:val="006C26D5"/>
    <w:rsid w:val="006C2798"/>
    <w:rsid w:val="006C2920"/>
    <w:rsid w:val="006C2FB5"/>
    <w:rsid w:val="006C32C1"/>
    <w:rsid w:val="006C33BE"/>
    <w:rsid w:val="006C4160"/>
    <w:rsid w:val="006C424E"/>
    <w:rsid w:val="006C5DE1"/>
    <w:rsid w:val="006C66EC"/>
    <w:rsid w:val="006C6FEC"/>
    <w:rsid w:val="006C7099"/>
    <w:rsid w:val="006C717D"/>
    <w:rsid w:val="006C763F"/>
    <w:rsid w:val="006C7F1B"/>
    <w:rsid w:val="006D04EE"/>
    <w:rsid w:val="006D0B6C"/>
    <w:rsid w:val="006D0B9F"/>
    <w:rsid w:val="006D1510"/>
    <w:rsid w:val="006D2592"/>
    <w:rsid w:val="006D2E15"/>
    <w:rsid w:val="006D30C1"/>
    <w:rsid w:val="006D3AE8"/>
    <w:rsid w:val="006D3CC3"/>
    <w:rsid w:val="006D47D9"/>
    <w:rsid w:val="006D4D49"/>
    <w:rsid w:val="006D5129"/>
    <w:rsid w:val="006D60AC"/>
    <w:rsid w:val="006D6945"/>
    <w:rsid w:val="006D734C"/>
    <w:rsid w:val="006D7448"/>
    <w:rsid w:val="006D749F"/>
    <w:rsid w:val="006D797D"/>
    <w:rsid w:val="006E1289"/>
    <w:rsid w:val="006E1EAD"/>
    <w:rsid w:val="006E226B"/>
    <w:rsid w:val="006E2E01"/>
    <w:rsid w:val="006E420A"/>
    <w:rsid w:val="006E451D"/>
    <w:rsid w:val="006E497B"/>
    <w:rsid w:val="006E4C40"/>
    <w:rsid w:val="006E4DFF"/>
    <w:rsid w:val="006E52DA"/>
    <w:rsid w:val="006E5EBE"/>
    <w:rsid w:val="006E6597"/>
    <w:rsid w:val="006E6B3A"/>
    <w:rsid w:val="006E7345"/>
    <w:rsid w:val="006E7FA6"/>
    <w:rsid w:val="006F0298"/>
    <w:rsid w:val="006F04B3"/>
    <w:rsid w:val="006F0C9E"/>
    <w:rsid w:val="006F0DA8"/>
    <w:rsid w:val="006F11F0"/>
    <w:rsid w:val="006F1482"/>
    <w:rsid w:val="006F28F8"/>
    <w:rsid w:val="006F2AEB"/>
    <w:rsid w:val="006F3870"/>
    <w:rsid w:val="006F3F96"/>
    <w:rsid w:val="006F428C"/>
    <w:rsid w:val="006F4BD7"/>
    <w:rsid w:val="006F552B"/>
    <w:rsid w:val="006F5911"/>
    <w:rsid w:val="006F59AB"/>
    <w:rsid w:val="006F5DDA"/>
    <w:rsid w:val="006F687D"/>
    <w:rsid w:val="006F74B1"/>
    <w:rsid w:val="006F778B"/>
    <w:rsid w:val="006F7D38"/>
    <w:rsid w:val="007000BA"/>
    <w:rsid w:val="0070060A"/>
    <w:rsid w:val="00700A81"/>
    <w:rsid w:val="00701503"/>
    <w:rsid w:val="0070190B"/>
    <w:rsid w:val="00702388"/>
    <w:rsid w:val="0070274C"/>
    <w:rsid w:val="00703210"/>
    <w:rsid w:val="00703651"/>
    <w:rsid w:val="007036F1"/>
    <w:rsid w:val="00704329"/>
    <w:rsid w:val="007044A1"/>
    <w:rsid w:val="007048D4"/>
    <w:rsid w:val="00705839"/>
    <w:rsid w:val="0070586D"/>
    <w:rsid w:val="00705E1A"/>
    <w:rsid w:val="00706642"/>
    <w:rsid w:val="0070747A"/>
    <w:rsid w:val="0070765E"/>
    <w:rsid w:val="00707D16"/>
    <w:rsid w:val="00707D34"/>
    <w:rsid w:val="00710BF2"/>
    <w:rsid w:val="00711493"/>
    <w:rsid w:val="0071173D"/>
    <w:rsid w:val="00711AF7"/>
    <w:rsid w:val="007120B3"/>
    <w:rsid w:val="007123E0"/>
    <w:rsid w:val="00713220"/>
    <w:rsid w:val="00713778"/>
    <w:rsid w:val="00715DEA"/>
    <w:rsid w:val="0071645F"/>
    <w:rsid w:val="0071651B"/>
    <w:rsid w:val="00716B81"/>
    <w:rsid w:val="00717B78"/>
    <w:rsid w:val="00717D59"/>
    <w:rsid w:val="00720280"/>
    <w:rsid w:val="00720680"/>
    <w:rsid w:val="00721636"/>
    <w:rsid w:val="00721C74"/>
    <w:rsid w:val="00721EE9"/>
    <w:rsid w:val="00722213"/>
    <w:rsid w:val="007222ED"/>
    <w:rsid w:val="00722351"/>
    <w:rsid w:val="00722D91"/>
    <w:rsid w:val="00723310"/>
    <w:rsid w:val="00723714"/>
    <w:rsid w:val="00723AA6"/>
    <w:rsid w:val="00724837"/>
    <w:rsid w:val="00724E18"/>
    <w:rsid w:val="00724F5A"/>
    <w:rsid w:val="0072552D"/>
    <w:rsid w:val="00725566"/>
    <w:rsid w:val="00725B2A"/>
    <w:rsid w:val="00725D1F"/>
    <w:rsid w:val="00726628"/>
    <w:rsid w:val="0072674B"/>
    <w:rsid w:val="00726923"/>
    <w:rsid w:val="00726F6C"/>
    <w:rsid w:val="0072788E"/>
    <w:rsid w:val="00727998"/>
    <w:rsid w:val="00727F8C"/>
    <w:rsid w:val="00727FCB"/>
    <w:rsid w:val="00727FFE"/>
    <w:rsid w:val="00730142"/>
    <w:rsid w:val="007303C8"/>
    <w:rsid w:val="00730DFB"/>
    <w:rsid w:val="00731607"/>
    <w:rsid w:val="00731B4D"/>
    <w:rsid w:val="00732102"/>
    <w:rsid w:val="0073211A"/>
    <w:rsid w:val="007324EA"/>
    <w:rsid w:val="0073271B"/>
    <w:rsid w:val="0073279C"/>
    <w:rsid w:val="007329AC"/>
    <w:rsid w:val="0073341E"/>
    <w:rsid w:val="00733890"/>
    <w:rsid w:val="00733895"/>
    <w:rsid w:val="007338C6"/>
    <w:rsid w:val="00733AEC"/>
    <w:rsid w:val="00733AF3"/>
    <w:rsid w:val="00734205"/>
    <w:rsid w:val="00734372"/>
    <w:rsid w:val="0073496D"/>
    <w:rsid w:val="00734ECF"/>
    <w:rsid w:val="0073585D"/>
    <w:rsid w:val="0073597A"/>
    <w:rsid w:val="00736EDA"/>
    <w:rsid w:val="00737446"/>
    <w:rsid w:val="00737DCD"/>
    <w:rsid w:val="00740200"/>
    <w:rsid w:val="00740288"/>
    <w:rsid w:val="00740967"/>
    <w:rsid w:val="007409F9"/>
    <w:rsid w:val="00740A90"/>
    <w:rsid w:val="00740FD9"/>
    <w:rsid w:val="0074138B"/>
    <w:rsid w:val="007418DC"/>
    <w:rsid w:val="00741940"/>
    <w:rsid w:val="0074199D"/>
    <w:rsid w:val="007420F1"/>
    <w:rsid w:val="0074238C"/>
    <w:rsid w:val="007424C0"/>
    <w:rsid w:val="00742767"/>
    <w:rsid w:val="00743CCC"/>
    <w:rsid w:val="00743E1F"/>
    <w:rsid w:val="0074403F"/>
    <w:rsid w:val="007446DD"/>
    <w:rsid w:val="0074583D"/>
    <w:rsid w:val="0074613D"/>
    <w:rsid w:val="00746491"/>
    <w:rsid w:val="0074657D"/>
    <w:rsid w:val="0074665A"/>
    <w:rsid w:val="00746DBE"/>
    <w:rsid w:val="00746F49"/>
    <w:rsid w:val="00747EDF"/>
    <w:rsid w:val="007503B5"/>
    <w:rsid w:val="00750741"/>
    <w:rsid w:val="0075091B"/>
    <w:rsid w:val="00751AF1"/>
    <w:rsid w:val="007523A9"/>
    <w:rsid w:val="007523DC"/>
    <w:rsid w:val="00752AB1"/>
    <w:rsid w:val="00752E00"/>
    <w:rsid w:val="0075322E"/>
    <w:rsid w:val="007534E8"/>
    <w:rsid w:val="007536EA"/>
    <w:rsid w:val="00754323"/>
    <w:rsid w:val="00754A6D"/>
    <w:rsid w:val="00754F13"/>
    <w:rsid w:val="0075577B"/>
    <w:rsid w:val="00755C5E"/>
    <w:rsid w:val="00756161"/>
    <w:rsid w:val="007568BB"/>
    <w:rsid w:val="00756A56"/>
    <w:rsid w:val="007578CB"/>
    <w:rsid w:val="00757C15"/>
    <w:rsid w:val="00760169"/>
    <w:rsid w:val="007603E2"/>
    <w:rsid w:val="00760A50"/>
    <w:rsid w:val="00760FBE"/>
    <w:rsid w:val="00760FD2"/>
    <w:rsid w:val="00761683"/>
    <w:rsid w:val="007616F4"/>
    <w:rsid w:val="00761DD0"/>
    <w:rsid w:val="00762673"/>
    <w:rsid w:val="00762BB0"/>
    <w:rsid w:val="00762C87"/>
    <w:rsid w:val="0076336A"/>
    <w:rsid w:val="007643FB"/>
    <w:rsid w:val="00764511"/>
    <w:rsid w:val="00764724"/>
    <w:rsid w:val="0076521C"/>
    <w:rsid w:val="00765674"/>
    <w:rsid w:val="007658BB"/>
    <w:rsid w:val="007659AE"/>
    <w:rsid w:val="00765D02"/>
    <w:rsid w:val="007663F2"/>
    <w:rsid w:val="00766593"/>
    <w:rsid w:val="00766D7D"/>
    <w:rsid w:val="0076755E"/>
    <w:rsid w:val="00767B9E"/>
    <w:rsid w:val="007700A4"/>
    <w:rsid w:val="007705D2"/>
    <w:rsid w:val="00770E5F"/>
    <w:rsid w:val="00770EF9"/>
    <w:rsid w:val="00770F1B"/>
    <w:rsid w:val="0077106E"/>
    <w:rsid w:val="00771500"/>
    <w:rsid w:val="0077153F"/>
    <w:rsid w:val="00771E57"/>
    <w:rsid w:val="007724FE"/>
    <w:rsid w:val="007726E7"/>
    <w:rsid w:val="00772A72"/>
    <w:rsid w:val="00773326"/>
    <w:rsid w:val="00773377"/>
    <w:rsid w:val="00773645"/>
    <w:rsid w:val="00773A58"/>
    <w:rsid w:val="00774005"/>
    <w:rsid w:val="007749DB"/>
    <w:rsid w:val="0077554B"/>
    <w:rsid w:val="00776223"/>
    <w:rsid w:val="0077748A"/>
    <w:rsid w:val="00777A96"/>
    <w:rsid w:val="00779D56"/>
    <w:rsid w:val="007807E5"/>
    <w:rsid w:val="00780ADD"/>
    <w:rsid w:val="00780D13"/>
    <w:rsid w:val="0078148F"/>
    <w:rsid w:val="007828C3"/>
    <w:rsid w:val="00782B90"/>
    <w:rsid w:val="00783059"/>
    <w:rsid w:val="00783106"/>
    <w:rsid w:val="00783BC9"/>
    <w:rsid w:val="007840F3"/>
    <w:rsid w:val="00784355"/>
    <w:rsid w:val="00784611"/>
    <w:rsid w:val="00784D71"/>
    <w:rsid w:val="0078563D"/>
    <w:rsid w:val="00785B9B"/>
    <w:rsid w:val="00785C38"/>
    <w:rsid w:val="00785FA3"/>
    <w:rsid w:val="007863E0"/>
    <w:rsid w:val="00787038"/>
    <w:rsid w:val="0078705B"/>
    <w:rsid w:val="007879BC"/>
    <w:rsid w:val="00787A7D"/>
    <w:rsid w:val="00790253"/>
    <w:rsid w:val="0079072E"/>
    <w:rsid w:val="007908ED"/>
    <w:rsid w:val="007910D4"/>
    <w:rsid w:val="007924DF"/>
    <w:rsid w:val="00792541"/>
    <w:rsid w:val="007925B1"/>
    <w:rsid w:val="00792675"/>
    <w:rsid w:val="00792AE7"/>
    <w:rsid w:val="00792E97"/>
    <w:rsid w:val="00793118"/>
    <w:rsid w:val="007931F3"/>
    <w:rsid w:val="00793A7F"/>
    <w:rsid w:val="00793B23"/>
    <w:rsid w:val="00793F27"/>
    <w:rsid w:val="00794971"/>
    <w:rsid w:val="00794A4C"/>
    <w:rsid w:val="00794A53"/>
    <w:rsid w:val="007956AE"/>
    <w:rsid w:val="0079588D"/>
    <w:rsid w:val="00796A0E"/>
    <w:rsid w:val="00796D41"/>
    <w:rsid w:val="00797430"/>
    <w:rsid w:val="007979C4"/>
    <w:rsid w:val="007A0B71"/>
    <w:rsid w:val="007A1B7D"/>
    <w:rsid w:val="007A220D"/>
    <w:rsid w:val="007A23CB"/>
    <w:rsid w:val="007A2B1B"/>
    <w:rsid w:val="007A571A"/>
    <w:rsid w:val="007A596E"/>
    <w:rsid w:val="007A5A3D"/>
    <w:rsid w:val="007A6329"/>
    <w:rsid w:val="007A6952"/>
    <w:rsid w:val="007A6BBF"/>
    <w:rsid w:val="007A6DD5"/>
    <w:rsid w:val="007A78B6"/>
    <w:rsid w:val="007A7F75"/>
    <w:rsid w:val="007B0DF9"/>
    <w:rsid w:val="007B0F96"/>
    <w:rsid w:val="007B11FE"/>
    <w:rsid w:val="007B1848"/>
    <w:rsid w:val="007B20C1"/>
    <w:rsid w:val="007B2289"/>
    <w:rsid w:val="007B27C3"/>
    <w:rsid w:val="007B2D6F"/>
    <w:rsid w:val="007B310B"/>
    <w:rsid w:val="007B32F7"/>
    <w:rsid w:val="007B34E5"/>
    <w:rsid w:val="007B3A80"/>
    <w:rsid w:val="007B4165"/>
    <w:rsid w:val="007B4681"/>
    <w:rsid w:val="007B4996"/>
    <w:rsid w:val="007B4C17"/>
    <w:rsid w:val="007B5612"/>
    <w:rsid w:val="007B5685"/>
    <w:rsid w:val="007B5692"/>
    <w:rsid w:val="007B57F6"/>
    <w:rsid w:val="007B5A3B"/>
    <w:rsid w:val="007B6679"/>
    <w:rsid w:val="007B6797"/>
    <w:rsid w:val="007B70B5"/>
    <w:rsid w:val="007B744B"/>
    <w:rsid w:val="007B7529"/>
    <w:rsid w:val="007B79FF"/>
    <w:rsid w:val="007C008A"/>
    <w:rsid w:val="007C01E0"/>
    <w:rsid w:val="007C05F4"/>
    <w:rsid w:val="007C08E2"/>
    <w:rsid w:val="007C09F9"/>
    <w:rsid w:val="007C0EC6"/>
    <w:rsid w:val="007C100F"/>
    <w:rsid w:val="007C1690"/>
    <w:rsid w:val="007C1834"/>
    <w:rsid w:val="007C1E71"/>
    <w:rsid w:val="007C2194"/>
    <w:rsid w:val="007C291A"/>
    <w:rsid w:val="007C30B5"/>
    <w:rsid w:val="007C32FC"/>
    <w:rsid w:val="007C332F"/>
    <w:rsid w:val="007C3BC1"/>
    <w:rsid w:val="007C412D"/>
    <w:rsid w:val="007C5676"/>
    <w:rsid w:val="007C717E"/>
    <w:rsid w:val="007C721A"/>
    <w:rsid w:val="007C76EA"/>
    <w:rsid w:val="007C7836"/>
    <w:rsid w:val="007C79AE"/>
    <w:rsid w:val="007D0E0D"/>
    <w:rsid w:val="007D11ED"/>
    <w:rsid w:val="007D1265"/>
    <w:rsid w:val="007D18DB"/>
    <w:rsid w:val="007D1FC6"/>
    <w:rsid w:val="007D217F"/>
    <w:rsid w:val="007D2200"/>
    <w:rsid w:val="007D259C"/>
    <w:rsid w:val="007D2887"/>
    <w:rsid w:val="007D2CEE"/>
    <w:rsid w:val="007D385E"/>
    <w:rsid w:val="007D390F"/>
    <w:rsid w:val="007D3EF4"/>
    <w:rsid w:val="007D3F73"/>
    <w:rsid w:val="007D3FF0"/>
    <w:rsid w:val="007D40B1"/>
    <w:rsid w:val="007D4285"/>
    <w:rsid w:val="007D482B"/>
    <w:rsid w:val="007D4C85"/>
    <w:rsid w:val="007D580E"/>
    <w:rsid w:val="007D5B85"/>
    <w:rsid w:val="007D6AC6"/>
    <w:rsid w:val="007D6B84"/>
    <w:rsid w:val="007D6BF7"/>
    <w:rsid w:val="007D6DA7"/>
    <w:rsid w:val="007D7049"/>
    <w:rsid w:val="007D7277"/>
    <w:rsid w:val="007D7632"/>
    <w:rsid w:val="007D76C5"/>
    <w:rsid w:val="007D7DE5"/>
    <w:rsid w:val="007E0631"/>
    <w:rsid w:val="007E06BE"/>
    <w:rsid w:val="007E099D"/>
    <w:rsid w:val="007E1B1A"/>
    <w:rsid w:val="007E222B"/>
    <w:rsid w:val="007E233A"/>
    <w:rsid w:val="007E2CCF"/>
    <w:rsid w:val="007E3280"/>
    <w:rsid w:val="007E5768"/>
    <w:rsid w:val="007E5B77"/>
    <w:rsid w:val="007E6E9B"/>
    <w:rsid w:val="007E7259"/>
    <w:rsid w:val="007E75F8"/>
    <w:rsid w:val="007E7D9C"/>
    <w:rsid w:val="007E7E81"/>
    <w:rsid w:val="007E7F3A"/>
    <w:rsid w:val="007F035F"/>
    <w:rsid w:val="007F0C1B"/>
    <w:rsid w:val="007F0FA5"/>
    <w:rsid w:val="007F1213"/>
    <w:rsid w:val="007F29CE"/>
    <w:rsid w:val="007F3268"/>
    <w:rsid w:val="007F3A7A"/>
    <w:rsid w:val="007F4124"/>
    <w:rsid w:val="007F4529"/>
    <w:rsid w:val="007F4F8C"/>
    <w:rsid w:val="007F4F92"/>
    <w:rsid w:val="007F5473"/>
    <w:rsid w:val="007F54AE"/>
    <w:rsid w:val="007F5515"/>
    <w:rsid w:val="007F57E1"/>
    <w:rsid w:val="007F5DEE"/>
    <w:rsid w:val="007F5FEC"/>
    <w:rsid w:val="007F7642"/>
    <w:rsid w:val="007F7DA6"/>
    <w:rsid w:val="007F7E61"/>
    <w:rsid w:val="00800589"/>
    <w:rsid w:val="00800A7D"/>
    <w:rsid w:val="00800E1B"/>
    <w:rsid w:val="0080139B"/>
    <w:rsid w:val="00801788"/>
    <w:rsid w:val="00801BC8"/>
    <w:rsid w:val="00802357"/>
    <w:rsid w:val="008023C1"/>
    <w:rsid w:val="00802C05"/>
    <w:rsid w:val="00803913"/>
    <w:rsid w:val="00803A37"/>
    <w:rsid w:val="00803B0A"/>
    <w:rsid w:val="00804A74"/>
    <w:rsid w:val="00804B8C"/>
    <w:rsid w:val="0080583F"/>
    <w:rsid w:val="00805B09"/>
    <w:rsid w:val="00805CE8"/>
    <w:rsid w:val="00805DF2"/>
    <w:rsid w:val="008060C4"/>
    <w:rsid w:val="00806237"/>
    <w:rsid w:val="008101D0"/>
    <w:rsid w:val="008102A7"/>
    <w:rsid w:val="008102B5"/>
    <w:rsid w:val="008103CB"/>
    <w:rsid w:val="00810A38"/>
    <w:rsid w:val="00810CD9"/>
    <w:rsid w:val="00810D66"/>
    <w:rsid w:val="00811E7E"/>
    <w:rsid w:val="00811EEB"/>
    <w:rsid w:val="0081268B"/>
    <w:rsid w:val="00812733"/>
    <w:rsid w:val="0081284D"/>
    <w:rsid w:val="0081285D"/>
    <w:rsid w:val="00812A0F"/>
    <w:rsid w:val="0081439C"/>
    <w:rsid w:val="00814E8C"/>
    <w:rsid w:val="00815BE8"/>
    <w:rsid w:val="00816D72"/>
    <w:rsid w:val="00816D96"/>
    <w:rsid w:val="0081776D"/>
    <w:rsid w:val="0081796B"/>
    <w:rsid w:val="00820BBE"/>
    <w:rsid w:val="00820CF9"/>
    <w:rsid w:val="008210F0"/>
    <w:rsid w:val="00821493"/>
    <w:rsid w:val="00821744"/>
    <w:rsid w:val="00821F30"/>
    <w:rsid w:val="00822A4A"/>
    <w:rsid w:val="008235A3"/>
    <w:rsid w:val="00823774"/>
    <w:rsid w:val="008243F9"/>
    <w:rsid w:val="00824CB6"/>
    <w:rsid w:val="0082541D"/>
    <w:rsid w:val="00825A2B"/>
    <w:rsid w:val="008261E0"/>
    <w:rsid w:val="00826D26"/>
    <w:rsid w:val="00826ED3"/>
    <w:rsid w:val="008271F1"/>
    <w:rsid w:val="00827C2F"/>
    <w:rsid w:val="00827E81"/>
    <w:rsid w:val="0083053E"/>
    <w:rsid w:val="00830E97"/>
    <w:rsid w:val="00831234"/>
    <w:rsid w:val="008312C9"/>
    <w:rsid w:val="00831DC3"/>
    <w:rsid w:val="00831E2B"/>
    <w:rsid w:val="00832682"/>
    <w:rsid w:val="008326DC"/>
    <w:rsid w:val="00832ED8"/>
    <w:rsid w:val="00832EFE"/>
    <w:rsid w:val="00833359"/>
    <w:rsid w:val="0083388C"/>
    <w:rsid w:val="00833A67"/>
    <w:rsid w:val="00833F28"/>
    <w:rsid w:val="008344D1"/>
    <w:rsid w:val="008345AD"/>
    <w:rsid w:val="00834627"/>
    <w:rsid w:val="008349E3"/>
    <w:rsid w:val="00834E5A"/>
    <w:rsid w:val="008358E9"/>
    <w:rsid w:val="0083604F"/>
    <w:rsid w:val="00836235"/>
    <w:rsid w:val="00836873"/>
    <w:rsid w:val="00836B44"/>
    <w:rsid w:val="00837546"/>
    <w:rsid w:val="00837B2D"/>
    <w:rsid w:val="00840981"/>
    <w:rsid w:val="008414E8"/>
    <w:rsid w:val="008420E5"/>
    <w:rsid w:val="0084239D"/>
    <w:rsid w:val="00842513"/>
    <w:rsid w:val="00842F57"/>
    <w:rsid w:val="0084350D"/>
    <w:rsid w:val="00843520"/>
    <w:rsid w:val="00845754"/>
    <w:rsid w:val="008458A3"/>
    <w:rsid w:val="00845ABA"/>
    <w:rsid w:val="00845AEF"/>
    <w:rsid w:val="0084643E"/>
    <w:rsid w:val="0084678F"/>
    <w:rsid w:val="00846A5B"/>
    <w:rsid w:val="00846C56"/>
    <w:rsid w:val="00847018"/>
    <w:rsid w:val="00847813"/>
    <w:rsid w:val="00850126"/>
    <w:rsid w:val="008505AB"/>
    <w:rsid w:val="008509BF"/>
    <w:rsid w:val="00850B9D"/>
    <w:rsid w:val="00850D00"/>
    <w:rsid w:val="00851646"/>
    <w:rsid w:val="00851C0A"/>
    <w:rsid w:val="00852992"/>
    <w:rsid w:val="00852B0E"/>
    <w:rsid w:val="00852B2C"/>
    <w:rsid w:val="00852C22"/>
    <w:rsid w:val="00853973"/>
    <w:rsid w:val="00853F69"/>
    <w:rsid w:val="00854E21"/>
    <w:rsid w:val="00854E42"/>
    <w:rsid w:val="0085631A"/>
    <w:rsid w:val="0085695E"/>
    <w:rsid w:val="00856F95"/>
    <w:rsid w:val="008572CD"/>
    <w:rsid w:val="00857D9D"/>
    <w:rsid w:val="00860456"/>
    <w:rsid w:val="0086185D"/>
    <w:rsid w:val="0086383D"/>
    <w:rsid w:val="008640EC"/>
    <w:rsid w:val="0086430A"/>
    <w:rsid w:val="0086453E"/>
    <w:rsid w:val="008647F1"/>
    <w:rsid w:val="008649F4"/>
    <w:rsid w:val="00864A39"/>
    <w:rsid w:val="00865054"/>
    <w:rsid w:val="00865367"/>
    <w:rsid w:val="00865D5E"/>
    <w:rsid w:val="00866661"/>
    <w:rsid w:val="008666D3"/>
    <w:rsid w:val="008669AB"/>
    <w:rsid w:val="00866A8B"/>
    <w:rsid w:val="00866CEA"/>
    <w:rsid w:val="00866DF3"/>
    <w:rsid w:val="00867360"/>
    <w:rsid w:val="008674CE"/>
    <w:rsid w:val="00867968"/>
    <w:rsid w:val="00867A40"/>
    <w:rsid w:val="008702EB"/>
    <w:rsid w:val="008703D2"/>
    <w:rsid w:val="008703DB"/>
    <w:rsid w:val="00870A18"/>
    <w:rsid w:val="00871C6E"/>
    <w:rsid w:val="008725F6"/>
    <w:rsid w:val="00872A44"/>
    <w:rsid w:val="00872CED"/>
    <w:rsid w:val="00872D62"/>
    <w:rsid w:val="00873AB0"/>
    <w:rsid w:val="00874394"/>
    <w:rsid w:val="00874583"/>
    <w:rsid w:val="00874614"/>
    <w:rsid w:val="00874B2F"/>
    <w:rsid w:val="00875583"/>
    <w:rsid w:val="00875AFC"/>
    <w:rsid w:val="00875D7F"/>
    <w:rsid w:val="00875F0E"/>
    <w:rsid w:val="00876ED5"/>
    <w:rsid w:val="00876EF8"/>
    <w:rsid w:val="0087708E"/>
    <w:rsid w:val="008776E4"/>
    <w:rsid w:val="00877733"/>
    <w:rsid w:val="008777C4"/>
    <w:rsid w:val="00880AA3"/>
    <w:rsid w:val="00880E04"/>
    <w:rsid w:val="0088108D"/>
    <w:rsid w:val="008822AB"/>
    <w:rsid w:val="008824BD"/>
    <w:rsid w:val="00882589"/>
    <w:rsid w:val="00882C56"/>
    <w:rsid w:val="00882F11"/>
    <w:rsid w:val="00882FC1"/>
    <w:rsid w:val="00883142"/>
    <w:rsid w:val="0088373A"/>
    <w:rsid w:val="00883819"/>
    <w:rsid w:val="00883B94"/>
    <w:rsid w:val="0088406C"/>
    <w:rsid w:val="00884196"/>
    <w:rsid w:val="008845B3"/>
    <w:rsid w:val="00884AF5"/>
    <w:rsid w:val="00884EA4"/>
    <w:rsid w:val="0088530E"/>
    <w:rsid w:val="008857E7"/>
    <w:rsid w:val="00885A8F"/>
    <w:rsid w:val="00885E46"/>
    <w:rsid w:val="008862A7"/>
    <w:rsid w:val="00886327"/>
    <w:rsid w:val="0088676F"/>
    <w:rsid w:val="008868E4"/>
    <w:rsid w:val="0088690D"/>
    <w:rsid w:val="00891A0F"/>
    <w:rsid w:val="00891EF0"/>
    <w:rsid w:val="0089234C"/>
    <w:rsid w:val="008923F9"/>
    <w:rsid w:val="00893029"/>
    <w:rsid w:val="00893A7E"/>
    <w:rsid w:val="00894E5B"/>
    <w:rsid w:val="008954F9"/>
    <w:rsid w:val="00895F49"/>
    <w:rsid w:val="00895F5C"/>
    <w:rsid w:val="00895F95"/>
    <w:rsid w:val="00896045"/>
    <w:rsid w:val="00896C29"/>
    <w:rsid w:val="00897F9E"/>
    <w:rsid w:val="008A014D"/>
    <w:rsid w:val="008A03B9"/>
    <w:rsid w:val="008A0464"/>
    <w:rsid w:val="008A0FA5"/>
    <w:rsid w:val="008A11FD"/>
    <w:rsid w:val="008A13DA"/>
    <w:rsid w:val="008A163F"/>
    <w:rsid w:val="008A16C7"/>
    <w:rsid w:val="008A1AF5"/>
    <w:rsid w:val="008A22FF"/>
    <w:rsid w:val="008A27B2"/>
    <w:rsid w:val="008A2D8C"/>
    <w:rsid w:val="008A329A"/>
    <w:rsid w:val="008A3581"/>
    <w:rsid w:val="008A35A7"/>
    <w:rsid w:val="008A3662"/>
    <w:rsid w:val="008A3755"/>
    <w:rsid w:val="008A3AE1"/>
    <w:rsid w:val="008A458C"/>
    <w:rsid w:val="008A45E8"/>
    <w:rsid w:val="008A4B5B"/>
    <w:rsid w:val="008A4F40"/>
    <w:rsid w:val="008A5C3B"/>
    <w:rsid w:val="008A62DC"/>
    <w:rsid w:val="008A66B9"/>
    <w:rsid w:val="008A6756"/>
    <w:rsid w:val="008A6900"/>
    <w:rsid w:val="008A6EC3"/>
    <w:rsid w:val="008B0092"/>
    <w:rsid w:val="008B0098"/>
    <w:rsid w:val="008B05DD"/>
    <w:rsid w:val="008B1F66"/>
    <w:rsid w:val="008B284E"/>
    <w:rsid w:val="008B2C82"/>
    <w:rsid w:val="008B2D4E"/>
    <w:rsid w:val="008B3115"/>
    <w:rsid w:val="008B339B"/>
    <w:rsid w:val="008B34D5"/>
    <w:rsid w:val="008B3F3D"/>
    <w:rsid w:val="008B406D"/>
    <w:rsid w:val="008B40A2"/>
    <w:rsid w:val="008B4529"/>
    <w:rsid w:val="008B46B1"/>
    <w:rsid w:val="008B4FD5"/>
    <w:rsid w:val="008B58BF"/>
    <w:rsid w:val="008B5E62"/>
    <w:rsid w:val="008B5F32"/>
    <w:rsid w:val="008B6364"/>
    <w:rsid w:val="008B691C"/>
    <w:rsid w:val="008B6FCD"/>
    <w:rsid w:val="008B70E7"/>
    <w:rsid w:val="008B7761"/>
    <w:rsid w:val="008B7825"/>
    <w:rsid w:val="008B7F18"/>
    <w:rsid w:val="008C0378"/>
    <w:rsid w:val="008C09D1"/>
    <w:rsid w:val="008C09F8"/>
    <w:rsid w:val="008C17C7"/>
    <w:rsid w:val="008C19C4"/>
    <w:rsid w:val="008C2C8F"/>
    <w:rsid w:val="008C386B"/>
    <w:rsid w:val="008C3950"/>
    <w:rsid w:val="008C3C25"/>
    <w:rsid w:val="008C3D70"/>
    <w:rsid w:val="008C4193"/>
    <w:rsid w:val="008C441B"/>
    <w:rsid w:val="008C452B"/>
    <w:rsid w:val="008C51FC"/>
    <w:rsid w:val="008C581F"/>
    <w:rsid w:val="008C61EE"/>
    <w:rsid w:val="008C69D8"/>
    <w:rsid w:val="008C6B98"/>
    <w:rsid w:val="008C76D0"/>
    <w:rsid w:val="008D0221"/>
    <w:rsid w:val="008D0262"/>
    <w:rsid w:val="008D1476"/>
    <w:rsid w:val="008D1B65"/>
    <w:rsid w:val="008D1C02"/>
    <w:rsid w:val="008D1E82"/>
    <w:rsid w:val="008D239A"/>
    <w:rsid w:val="008D2C3B"/>
    <w:rsid w:val="008D3272"/>
    <w:rsid w:val="008D329E"/>
    <w:rsid w:val="008D345F"/>
    <w:rsid w:val="008D3D60"/>
    <w:rsid w:val="008D3F14"/>
    <w:rsid w:val="008D4364"/>
    <w:rsid w:val="008D438F"/>
    <w:rsid w:val="008D492D"/>
    <w:rsid w:val="008D4F5B"/>
    <w:rsid w:val="008D514D"/>
    <w:rsid w:val="008D55AD"/>
    <w:rsid w:val="008D563D"/>
    <w:rsid w:val="008D6290"/>
    <w:rsid w:val="008D6299"/>
    <w:rsid w:val="008D649B"/>
    <w:rsid w:val="008D7478"/>
    <w:rsid w:val="008D7F01"/>
    <w:rsid w:val="008E075C"/>
    <w:rsid w:val="008E0A41"/>
    <w:rsid w:val="008E0DB8"/>
    <w:rsid w:val="008E0E6A"/>
    <w:rsid w:val="008E0FA1"/>
    <w:rsid w:val="008E10C5"/>
    <w:rsid w:val="008E175D"/>
    <w:rsid w:val="008E22F7"/>
    <w:rsid w:val="008E2AF5"/>
    <w:rsid w:val="008E2C55"/>
    <w:rsid w:val="008E2CEC"/>
    <w:rsid w:val="008E3788"/>
    <w:rsid w:val="008E3A4D"/>
    <w:rsid w:val="008E3F33"/>
    <w:rsid w:val="008E4435"/>
    <w:rsid w:val="008E5237"/>
    <w:rsid w:val="008E54A2"/>
    <w:rsid w:val="008E6634"/>
    <w:rsid w:val="008E6BD9"/>
    <w:rsid w:val="008E7062"/>
    <w:rsid w:val="008E71B0"/>
    <w:rsid w:val="008E7538"/>
    <w:rsid w:val="008E7C4D"/>
    <w:rsid w:val="008E7FD1"/>
    <w:rsid w:val="008F041A"/>
    <w:rsid w:val="008F0AF1"/>
    <w:rsid w:val="008F11B1"/>
    <w:rsid w:val="008F1564"/>
    <w:rsid w:val="008F1C0E"/>
    <w:rsid w:val="008F1C4B"/>
    <w:rsid w:val="008F2CAA"/>
    <w:rsid w:val="008F2EF0"/>
    <w:rsid w:val="008F4103"/>
    <w:rsid w:val="008F45A3"/>
    <w:rsid w:val="008F48C3"/>
    <w:rsid w:val="008F4C15"/>
    <w:rsid w:val="008F4DF8"/>
    <w:rsid w:val="008F557F"/>
    <w:rsid w:val="008F5FAD"/>
    <w:rsid w:val="008F6522"/>
    <w:rsid w:val="008F6C4D"/>
    <w:rsid w:val="008F709A"/>
    <w:rsid w:val="008F7B20"/>
    <w:rsid w:val="008F7DC5"/>
    <w:rsid w:val="00900A08"/>
    <w:rsid w:val="00900EBB"/>
    <w:rsid w:val="009017C6"/>
    <w:rsid w:val="00901A10"/>
    <w:rsid w:val="00901C6F"/>
    <w:rsid w:val="00902483"/>
    <w:rsid w:val="00902602"/>
    <w:rsid w:val="00902802"/>
    <w:rsid w:val="00903247"/>
    <w:rsid w:val="009037EF"/>
    <w:rsid w:val="00903D72"/>
    <w:rsid w:val="009046E5"/>
    <w:rsid w:val="00904913"/>
    <w:rsid w:val="009055AF"/>
    <w:rsid w:val="009056F1"/>
    <w:rsid w:val="00905D70"/>
    <w:rsid w:val="00905EAF"/>
    <w:rsid w:val="009067DC"/>
    <w:rsid w:val="00906BB8"/>
    <w:rsid w:val="00906EF2"/>
    <w:rsid w:val="009075E4"/>
    <w:rsid w:val="00907964"/>
    <w:rsid w:val="00907C13"/>
    <w:rsid w:val="00907D66"/>
    <w:rsid w:val="00907DBD"/>
    <w:rsid w:val="009102EF"/>
    <w:rsid w:val="00910451"/>
    <w:rsid w:val="0091084A"/>
    <w:rsid w:val="00910871"/>
    <w:rsid w:val="00911A87"/>
    <w:rsid w:val="0091261D"/>
    <w:rsid w:val="009126E4"/>
    <w:rsid w:val="009132A4"/>
    <w:rsid w:val="00913953"/>
    <w:rsid w:val="00913E12"/>
    <w:rsid w:val="00914295"/>
    <w:rsid w:val="00914393"/>
    <w:rsid w:val="0091447E"/>
    <w:rsid w:val="00915BD3"/>
    <w:rsid w:val="00915DD2"/>
    <w:rsid w:val="009162B8"/>
    <w:rsid w:val="009165FC"/>
    <w:rsid w:val="0091662B"/>
    <w:rsid w:val="00916D63"/>
    <w:rsid w:val="00916D99"/>
    <w:rsid w:val="00917B93"/>
    <w:rsid w:val="00917F44"/>
    <w:rsid w:val="00920F57"/>
    <w:rsid w:val="0092167E"/>
    <w:rsid w:val="009218D8"/>
    <w:rsid w:val="009218EA"/>
    <w:rsid w:val="00921AD7"/>
    <w:rsid w:val="009220DF"/>
    <w:rsid w:val="009222C3"/>
    <w:rsid w:val="00922A99"/>
    <w:rsid w:val="00923634"/>
    <w:rsid w:val="0092371A"/>
    <w:rsid w:val="0092391F"/>
    <w:rsid w:val="009245C5"/>
    <w:rsid w:val="00924FBA"/>
    <w:rsid w:val="00925114"/>
    <w:rsid w:val="00925346"/>
    <w:rsid w:val="00925452"/>
    <w:rsid w:val="009254FD"/>
    <w:rsid w:val="00925A05"/>
    <w:rsid w:val="00925C6C"/>
    <w:rsid w:val="0092616D"/>
    <w:rsid w:val="009261E3"/>
    <w:rsid w:val="00926B0A"/>
    <w:rsid w:val="00926B3B"/>
    <w:rsid w:val="00926D74"/>
    <w:rsid w:val="009271D3"/>
    <w:rsid w:val="009273FD"/>
    <w:rsid w:val="0092775E"/>
    <w:rsid w:val="00927C7A"/>
    <w:rsid w:val="00927CBB"/>
    <w:rsid w:val="00927CCD"/>
    <w:rsid w:val="00930147"/>
    <w:rsid w:val="00930934"/>
    <w:rsid w:val="00930F67"/>
    <w:rsid w:val="009310EF"/>
    <w:rsid w:val="00931C62"/>
    <w:rsid w:val="00931D57"/>
    <w:rsid w:val="00931E96"/>
    <w:rsid w:val="00931ED4"/>
    <w:rsid w:val="00932802"/>
    <w:rsid w:val="00932A6D"/>
    <w:rsid w:val="00932D3C"/>
    <w:rsid w:val="00933916"/>
    <w:rsid w:val="00933A5D"/>
    <w:rsid w:val="00933CA2"/>
    <w:rsid w:val="00933CB8"/>
    <w:rsid w:val="00933D5B"/>
    <w:rsid w:val="00934871"/>
    <w:rsid w:val="00934B25"/>
    <w:rsid w:val="00934F01"/>
    <w:rsid w:val="0093527A"/>
    <w:rsid w:val="00935738"/>
    <w:rsid w:val="009357CD"/>
    <w:rsid w:val="00936159"/>
    <w:rsid w:val="00936160"/>
    <w:rsid w:val="00936BDE"/>
    <w:rsid w:val="009371F1"/>
    <w:rsid w:val="00937463"/>
    <w:rsid w:val="00940CB3"/>
    <w:rsid w:val="0094156E"/>
    <w:rsid w:val="00941C13"/>
    <w:rsid w:val="009422A3"/>
    <w:rsid w:val="009423B5"/>
    <w:rsid w:val="00942503"/>
    <w:rsid w:val="009433E9"/>
    <w:rsid w:val="0094393A"/>
    <w:rsid w:val="009440B3"/>
    <w:rsid w:val="009440D8"/>
    <w:rsid w:val="00944F46"/>
    <w:rsid w:val="00944FE7"/>
    <w:rsid w:val="009450AE"/>
    <w:rsid w:val="0094594F"/>
    <w:rsid w:val="00945A10"/>
    <w:rsid w:val="00945CA1"/>
    <w:rsid w:val="00946395"/>
    <w:rsid w:val="00947120"/>
    <w:rsid w:val="009472EC"/>
    <w:rsid w:val="0094790E"/>
    <w:rsid w:val="0095009A"/>
    <w:rsid w:val="00950B8D"/>
    <w:rsid w:val="00950BAA"/>
    <w:rsid w:val="00950BF9"/>
    <w:rsid w:val="0095267F"/>
    <w:rsid w:val="009527C3"/>
    <w:rsid w:val="00953324"/>
    <w:rsid w:val="009538E0"/>
    <w:rsid w:val="0095396C"/>
    <w:rsid w:val="00953975"/>
    <w:rsid w:val="00953AA7"/>
    <w:rsid w:val="00953D3C"/>
    <w:rsid w:val="00953E3C"/>
    <w:rsid w:val="00954466"/>
    <w:rsid w:val="00954A2E"/>
    <w:rsid w:val="00954D94"/>
    <w:rsid w:val="0095585C"/>
    <w:rsid w:val="009575D8"/>
    <w:rsid w:val="00957B54"/>
    <w:rsid w:val="00960C14"/>
    <w:rsid w:val="00960E01"/>
    <w:rsid w:val="00961F64"/>
    <w:rsid w:val="00962BC0"/>
    <w:rsid w:val="00962F4D"/>
    <w:rsid w:val="009638E7"/>
    <w:rsid w:val="00963F3C"/>
    <w:rsid w:val="00964BE7"/>
    <w:rsid w:val="00964F6B"/>
    <w:rsid w:val="00965129"/>
    <w:rsid w:val="0096575B"/>
    <w:rsid w:val="0096633A"/>
    <w:rsid w:val="00966D7A"/>
    <w:rsid w:val="00966FBE"/>
    <w:rsid w:val="0096701C"/>
    <w:rsid w:val="00967AAD"/>
    <w:rsid w:val="00967E93"/>
    <w:rsid w:val="00970F64"/>
    <w:rsid w:val="00970FF6"/>
    <w:rsid w:val="009712FD"/>
    <w:rsid w:val="009713C9"/>
    <w:rsid w:val="0097258E"/>
    <w:rsid w:val="0097259A"/>
    <w:rsid w:val="00972797"/>
    <w:rsid w:val="009728C4"/>
    <w:rsid w:val="009746DF"/>
    <w:rsid w:val="00974767"/>
    <w:rsid w:val="00974F32"/>
    <w:rsid w:val="00975B74"/>
    <w:rsid w:val="009767D5"/>
    <w:rsid w:val="00976E9C"/>
    <w:rsid w:val="009770B0"/>
    <w:rsid w:val="00977345"/>
    <w:rsid w:val="009775F1"/>
    <w:rsid w:val="00977D91"/>
    <w:rsid w:val="009800FA"/>
    <w:rsid w:val="00980D9B"/>
    <w:rsid w:val="009810A4"/>
    <w:rsid w:val="0098112E"/>
    <w:rsid w:val="009815CB"/>
    <w:rsid w:val="00981A3F"/>
    <w:rsid w:val="009831D0"/>
    <w:rsid w:val="0098392E"/>
    <w:rsid w:val="00983C48"/>
    <w:rsid w:val="00983F8B"/>
    <w:rsid w:val="00984474"/>
    <w:rsid w:val="00984699"/>
    <w:rsid w:val="00984ED7"/>
    <w:rsid w:val="00985536"/>
    <w:rsid w:val="0098553A"/>
    <w:rsid w:val="009859C8"/>
    <w:rsid w:val="00985D90"/>
    <w:rsid w:val="009862EE"/>
    <w:rsid w:val="00986939"/>
    <w:rsid w:val="00987B28"/>
    <w:rsid w:val="009900C0"/>
    <w:rsid w:val="009901ED"/>
    <w:rsid w:val="0099083C"/>
    <w:rsid w:val="0099098D"/>
    <w:rsid w:val="00990E6F"/>
    <w:rsid w:val="00990F00"/>
    <w:rsid w:val="0099117D"/>
    <w:rsid w:val="00991BC5"/>
    <w:rsid w:val="0099213E"/>
    <w:rsid w:val="00992220"/>
    <w:rsid w:val="0099252F"/>
    <w:rsid w:val="00992599"/>
    <w:rsid w:val="00992A82"/>
    <w:rsid w:val="00993C69"/>
    <w:rsid w:val="009941F6"/>
    <w:rsid w:val="0099424E"/>
    <w:rsid w:val="009948E8"/>
    <w:rsid w:val="0099499B"/>
    <w:rsid w:val="00994CE3"/>
    <w:rsid w:val="00995198"/>
    <w:rsid w:val="009952BC"/>
    <w:rsid w:val="009955D2"/>
    <w:rsid w:val="0099564D"/>
    <w:rsid w:val="00995771"/>
    <w:rsid w:val="00995875"/>
    <w:rsid w:val="009959B5"/>
    <w:rsid w:val="00995A38"/>
    <w:rsid w:val="00996A9D"/>
    <w:rsid w:val="00997211"/>
    <w:rsid w:val="0099724E"/>
    <w:rsid w:val="0099759B"/>
    <w:rsid w:val="00997F6C"/>
    <w:rsid w:val="009A14EE"/>
    <w:rsid w:val="009A1F58"/>
    <w:rsid w:val="009A22E6"/>
    <w:rsid w:val="009A27A3"/>
    <w:rsid w:val="009A28FD"/>
    <w:rsid w:val="009A2AD5"/>
    <w:rsid w:val="009A3ABF"/>
    <w:rsid w:val="009A4018"/>
    <w:rsid w:val="009A434B"/>
    <w:rsid w:val="009A4C2B"/>
    <w:rsid w:val="009A4D38"/>
    <w:rsid w:val="009A4E3D"/>
    <w:rsid w:val="009A6778"/>
    <w:rsid w:val="009A6A7E"/>
    <w:rsid w:val="009A6BB4"/>
    <w:rsid w:val="009A78A0"/>
    <w:rsid w:val="009B01A8"/>
    <w:rsid w:val="009B0C84"/>
    <w:rsid w:val="009B0D14"/>
    <w:rsid w:val="009B0D3D"/>
    <w:rsid w:val="009B22AB"/>
    <w:rsid w:val="009B23FD"/>
    <w:rsid w:val="009B32EC"/>
    <w:rsid w:val="009B385D"/>
    <w:rsid w:val="009B3AC3"/>
    <w:rsid w:val="009B3AFA"/>
    <w:rsid w:val="009B3D3D"/>
    <w:rsid w:val="009B4620"/>
    <w:rsid w:val="009B4A1B"/>
    <w:rsid w:val="009B4F5A"/>
    <w:rsid w:val="009B4FD8"/>
    <w:rsid w:val="009B50D5"/>
    <w:rsid w:val="009B5133"/>
    <w:rsid w:val="009B5383"/>
    <w:rsid w:val="009B5FE7"/>
    <w:rsid w:val="009B652C"/>
    <w:rsid w:val="009B6636"/>
    <w:rsid w:val="009B6AC5"/>
    <w:rsid w:val="009B6DAD"/>
    <w:rsid w:val="009B6F4E"/>
    <w:rsid w:val="009B7053"/>
    <w:rsid w:val="009B7060"/>
    <w:rsid w:val="009B7857"/>
    <w:rsid w:val="009B7EC7"/>
    <w:rsid w:val="009C064D"/>
    <w:rsid w:val="009C13BF"/>
    <w:rsid w:val="009C17BE"/>
    <w:rsid w:val="009C194D"/>
    <w:rsid w:val="009C1C16"/>
    <w:rsid w:val="009C1E46"/>
    <w:rsid w:val="009C23E8"/>
    <w:rsid w:val="009C3AA3"/>
    <w:rsid w:val="009C3FAC"/>
    <w:rsid w:val="009C4847"/>
    <w:rsid w:val="009C4FD2"/>
    <w:rsid w:val="009C505E"/>
    <w:rsid w:val="009C54FB"/>
    <w:rsid w:val="009C6AAC"/>
    <w:rsid w:val="009C6FDF"/>
    <w:rsid w:val="009C7919"/>
    <w:rsid w:val="009D0C0E"/>
    <w:rsid w:val="009D1283"/>
    <w:rsid w:val="009D1638"/>
    <w:rsid w:val="009D16C1"/>
    <w:rsid w:val="009D24FC"/>
    <w:rsid w:val="009D2648"/>
    <w:rsid w:val="009D26F2"/>
    <w:rsid w:val="009D270A"/>
    <w:rsid w:val="009D2CB0"/>
    <w:rsid w:val="009D34B9"/>
    <w:rsid w:val="009D352A"/>
    <w:rsid w:val="009D44FF"/>
    <w:rsid w:val="009D45AD"/>
    <w:rsid w:val="009D4929"/>
    <w:rsid w:val="009D5710"/>
    <w:rsid w:val="009D5810"/>
    <w:rsid w:val="009D5864"/>
    <w:rsid w:val="009D5D2C"/>
    <w:rsid w:val="009D5DDE"/>
    <w:rsid w:val="009D6158"/>
    <w:rsid w:val="009D6698"/>
    <w:rsid w:val="009D6847"/>
    <w:rsid w:val="009D68EA"/>
    <w:rsid w:val="009D750A"/>
    <w:rsid w:val="009E0B53"/>
    <w:rsid w:val="009E0BE7"/>
    <w:rsid w:val="009E0CA1"/>
    <w:rsid w:val="009E10BE"/>
    <w:rsid w:val="009E1BFA"/>
    <w:rsid w:val="009E1F50"/>
    <w:rsid w:val="009E224C"/>
    <w:rsid w:val="009E22D7"/>
    <w:rsid w:val="009E2C22"/>
    <w:rsid w:val="009E3224"/>
    <w:rsid w:val="009E34D3"/>
    <w:rsid w:val="009E3805"/>
    <w:rsid w:val="009E397B"/>
    <w:rsid w:val="009E3C17"/>
    <w:rsid w:val="009E3E3A"/>
    <w:rsid w:val="009E41DC"/>
    <w:rsid w:val="009E42AB"/>
    <w:rsid w:val="009E48FA"/>
    <w:rsid w:val="009E4DA0"/>
    <w:rsid w:val="009E4F53"/>
    <w:rsid w:val="009E5389"/>
    <w:rsid w:val="009E57DB"/>
    <w:rsid w:val="009E5B89"/>
    <w:rsid w:val="009E68E2"/>
    <w:rsid w:val="009E6F39"/>
    <w:rsid w:val="009E78F2"/>
    <w:rsid w:val="009E79C5"/>
    <w:rsid w:val="009F03DF"/>
    <w:rsid w:val="009F0A90"/>
    <w:rsid w:val="009F0E78"/>
    <w:rsid w:val="009F11E4"/>
    <w:rsid w:val="009F1B0D"/>
    <w:rsid w:val="009F31E7"/>
    <w:rsid w:val="009F3203"/>
    <w:rsid w:val="009F366C"/>
    <w:rsid w:val="009F394D"/>
    <w:rsid w:val="009F4262"/>
    <w:rsid w:val="009F482E"/>
    <w:rsid w:val="009F4EF5"/>
    <w:rsid w:val="009F514D"/>
    <w:rsid w:val="009F515F"/>
    <w:rsid w:val="009F5425"/>
    <w:rsid w:val="009F5523"/>
    <w:rsid w:val="009F5552"/>
    <w:rsid w:val="009F59F5"/>
    <w:rsid w:val="009F665A"/>
    <w:rsid w:val="009F7364"/>
    <w:rsid w:val="009F78B0"/>
    <w:rsid w:val="00A00B44"/>
    <w:rsid w:val="00A01AE2"/>
    <w:rsid w:val="00A0238F"/>
    <w:rsid w:val="00A0264D"/>
    <w:rsid w:val="00A0313F"/>
    <w:rsid w:val="00A0322A"/>
    <w:rsid w:val="00A037A1"/>
    <w:rsid w:val="00A0387D"/>
    <w:rsid w:val="00A04035"/>
    <w:rsid w:val="00A055A0"/>
    <w:rsid w:val="00A060F5"/>
    <w:rsid w:val="00A06113"/>
    <w:rsid w:val="00A066E1"/>
    <w:rsid w:val="00A0671E"/>
    <w:rsid w:val="00A06B96"/>
    <w:rsid w:val="00A074E5"/>
    <w:rsid w:val="00A0763B"/>
    <w:rsid w:val="00A077F6"/>
    <w:rsid w:val="00A07E01"/>
    <w:rsid w:val="00A10E6F"/>
    <w:rsid w:val="00A13A7B"/>
    <w:rsid w:val="00A13B4A"/>
    <w:rsid w:val="00A13CE3"/>
    <w:rsid w:val="00A14150"/>
    <w:rsid w:val="00A143EB"/>
    <w:rsid w:val="00A147B7"/>
    <w:rsid w:val="00A14D42"/>
    <w:rsid w:val="00A14F6D"/>
    <w:rsid w:val="00A15701"/>
    <w:rsid w:val="00A16127"/>
    <w:rsid w:val="00A1627A"/>
    <w:rsid w:val="00A1695D"/>
    <w:rsid w:val="00A179F0"/>
    <w:rsid w:val="00A17C47"/>
    <w:rsid w:val="00A2046E"/>
    <w:rsid w:val="00A212D5"/>
    <w:rsid w:val="00A2136E"/>
    <w:rsid w:val="00A21565"/>
    <w:rsid w:val="00A2181F"/>
    <w:rsid w:val="00A218DA"/>
    <w:rsid w:val="00A22AFA"/>
    <w:rsid w:val="00A22E6B"/>
    <w:rsid w:val="00A23457"/>
    <w:rsid w:val="00A2367B"/>
    <w:rsid w:val="00A23B5C"/>
    <w:rsid w:val="00A23D13"/>
    <w:rsid w:val="00A23D9F"/>
    <w:rsid w:val="00A2414F"/>
    <w:rsid w:val="00A248B9"/>
    <w:rsid w:val="00A25E66"/>
    <w:rsid w:val="00A2705C"/>
    <w:rsid w:val="00A27273"/>
    <w:rsid w:val="00A272A2"/>
    <w:rsid w:val="00A273EA"/>
    <w:rsid w:val="00A27584"/>
    <w:rsid w:val="00A27EBF"/>
    <w:rsid w:val="00A32BF5"/>
    <w:rsid w:val="00A32CAA"/>
    <w:rsid w:val="00A33162"/>
    <w:rsid w:val="00A3385B"/>
    <w:rsid w:val="00A33BE7"/>
    <w:rsid w:val="00A33C99"/>
    <w:rsid w:val="00A34728"/>
    <w:rsid w:val="00A354F8"/>
    <w:rsid w:val="00A357A6"/>
    <w:rsid w:val="00A35B6B"/>
    <w:rsid w:val="00A3612F"/>
    <w:rsid w:val="00A36256"/>
    <w:rsid w:val="00A367CA"/>
    <w:rsid w:val="00A36CEB"/>
    <w:rsid w:val="00A36F06"/>
    <w:rsid w:val="00A37046"/>
    <w:rsid w:val="00A37831"/>
    <w:rsid w:val="00A378A7"/>
    <w:rsid w:val="00A40380"/>
    <w:rsid w:val="00A40F78"/>
    <w:rsid w:val="00A40F7F"/>
    <w:rsid w:val="00A413F3"/>
    <w:rsid w:val="00A41E10"/>
    <w:rsid w:val="00A41F98"/>
    <w:rsid w:val="00A41FB0"/>
    <w:rsid w:val="00A42098"/>
    <w:rsid w:val="00A420B1"/>
    <w:rsid w:val="00A4229B"/>
    <w:rsid w:val="00A42671"/>
    <w:rsid w:val="00A42684"/>
    <w:rsid w:val="00A432F7"/>
    <w:rsid w:val="00A43F6A"/>
    <w:rsid w:val="00A44677"/>
    <w:rsid w:val="00A453C1"/>
    <w:rsid w:val="00A45815"/>
    <w:rsid w:val="00A45E28"/>
    <w:rsid w:val="00A45FC5"/>
    <w:rsid w:val="00A46182"/>
    <w:rsid w:val="00A46540"/>
    <w:rsid w:val="00A46A21"/>
    <w:rsid w:val="00A46AFF"/>
    <w:rsid w:val="00A475B0"/>
    <w:rsid w:val="00A4778E"/>
    <w:rsid w:val="00A50441"/>
    <w:rsid w:val="00A50860"/>
    <w:rsid w:val="00A50B3E"/>
    <w:rsid w:val="00A50D7B"/>
    <w:rsid w:val="00A51FC5"/>
    <w:rsid w:val="00A52662"/>
    <w:rsid w:val="00A528FF"/>
    <w:rsid w:val="00A53162"/>
    <w:rsid w:val="00A5320F"/>
    <w:rsid w:val="00A533F4"/>
    <w:rsid w:val="00A53994"/>
    <w:rsid w:val="00A53D90"/>
    <w:rsid w:val="00A53EAE"/>
    <w:rsid w:val="00A5420A"/>
    <w:rsid w:val="00A55499"/>
    <w:rsid w:val="00A55747"/>
    <w:rsid w:val="00A55990"/>
    <w:rsid w:val="00A55A14"/>
    <w:rsid w:val="00A55D19"/>
    <w:rsid w:val="00A55DB3"/>
    <w:rsid w:val="00A5705A"/>
    <w:rsid w:val="00A6033D"/>
    <w:rsid w:val="00A6076D"/>
    <w:rsid w:val="00A60E88"/>
    <w:rsid w:val="00A61795"/>
    <w:rsid w:val="00A618FD"/>
    <w:rsid w:val="00A619BD"/>
    <w:rsid w:val="00A62001"/>
    <w:rsid w:val="00A6245C"/>
    <w:rsid w:val="00A6281D"/>
    <w:rsid w:val="00A63D7D"/>
    <w:rsid w:val="00A6410B"/>
    <w:rsid w:val="00A64999"/>
    <w:rsid w:val="00A65978"/>
    <w:rsid w:val="00A663E2"/>
    <w:rsid w:val="00A66906"/>
    <w:rsid w:val="00A6693A"/>
    <w:rsid w:val="00A67001"/>
    <w:rsid w:val="00A6778C"/>
    <w:rsid w:val="00A678DD"/>
    <w:rsid w:val="00A67BC9"/>
    <w:rsid w:val="00A70033"/>
    <w:rsid w:val="00A70600"/>
    <w:rsid w:val="00A71899"/>
    <w:rsid w:val="00A71CDA"/>
    <w:rsid w:val="00A723E0"/>
    <w:rsid w:val="00A7246A"/>
    <w:rsid w:val="00A7275B"/>
    <w:rsid w:val="00A72796"/>
    <w:rsid w:val="00A72842"/>
    <w:rsid w:val="00A72DD6"/>
    <w:rsid w:val="00A72F19"/>
    <w:rsid w:val="00A737A9"/>
    <w:rsid w:val="00A73C12"/>
    <w:rsid w:val="00A73F19"/>
    <w:rsid w:val="00A73FFC"/>
    <w:rsid w:val="00A74201"/>
    <w:rsid w:val="00A748C4"/>
    <w:rsid w:val="00A74D57"/>
    <w:rsid w:val="00A76476"/>
    <w:rsid w:val="00A76D9D"/>
    <w:rsid w:val="00A77ACD"/>
    <w:rsid w:val="00A77C1F"/>
    <w:rsid w:val="00A77F8B"/>
    <w:rsid w:val="00A802B5"/>
    <w:rsid w:val="00A80F83"/>
    <w:rsid w:val="00A823FE"/>
    <w:rsid w:val="00A8250D"/>
    <w:rsid w:val="00A834A9"/>
    <w:rsid w:val="00A83794"/>
    <w:rsid w:val="00A838B7"/>
    <w:rsid w:val="00A8445D"/>
    <w:rsid w:val="00A853F2"/>
    <w:rsid w:val="00A85663"/>
    <w:rsid w:val="00A85FCA"/>
    <w:rsid w:val="00A862A1"/>
    <w:rsid w:val="00A86795"/>
    <w:rsid w:val="00A868BD"/>
    <w:rsid w:val="00A870B8"/>
    <w:rsid w:val="00A87AD2"/>
    <w:rsid w:val="00A90204"/>
    <w:rsid w:val="00A90846"/>
    <w:rsid w:val="00A90D28"/>
    <w:rsid w:val="00A910F5"/>
    <w:rsid w:val="00A91D43"/>
    <w:rsid w:val="00A91E05"/>
    <w:rsid w:val="00A92349"/>
    <w:rsid w:val="00A9244F"/>
    <w:rsid w:val="00A924F8"/>
    <w:rsid w:val="00A92607"/>
    <w:rsid w:val="00A9263E"/>
    <w:rsid w:val="00A927F0"/>
    <w:rsid w:val="00A92849"/>
    <w:rsid w:val="00A92F2C"/>
    <w:rsid w:val="00A92FA7"/>
    <w:rsid w:val="00A932E0"/>
    <w:rsid w:val="00A93D8E"/>
    <w:rsid w:val="00A94170"/>
    <w:rsid w:val="00A94490"/>
    <w:rsid w:val="00A94792"/>
    <w:rsid w:val="00A94C46"/>
    <w:rsid w:val="00A9508F"/>
    <w:rsid w:val="00A95139"/>
    <w:rsid w:val="00A95395"/>
    <w:rsid w:val="00A95823"/>
    <w:rsid w:val="00A95AA1"/>
    <w:rsid w:val="00A96D28"/>
    <w:rsid w:val="00A96E00"/>
    <w:rsid w:val="00A973EF"/>
    <w:rsid w:val="00A97C18"/>
    <w:rsid w:val="00A97D40"/>
    <w:rsid w:val="00A97F10"/>
    <w:rsid w:val="00AA01FD"/>
    <w:rsid w:val="00AA024B"/>
    <w:rsid w:val="00AA074B"/>
    <w:rsid w:val="00AA0B20"/>
    <w:rsid w:val="00AA0E42"/>
    <w:rsid w:val="00AA1236"/>
    <w:rsid w:val="00AA15B7"/>
    <w:rsid w:val="00AA1716"/>
    <w:rsid w:val="00AA1928"/>
    <w:rsid w:val="00AA1A33"/>
    <w:rsid w:val="00AA24F0"/>
    <w:rsid w:val="00AA2B5E"/>
    <w:rsid w:val="00AA350F"/>
    <w:rsid w:val="00AA3628"/>
    <w:rsid w:val="00AA3F67"/>
    <w:rsid w:val="00AA4B13"/>
    <w:rsid w:val="00AA5137"/>
    <w:rsid w:val="00AA5C33"/>
    <w:rsid w:val="00AA64B6"/>
    <w:rsid w:val="00AA7029"/>
    <w:rsid w:val="00AA7225"/>
    <w:rsid w:val="00AA72C0"/>
    <w:rsid w:val="00AA7D5D"/>
    <w:rsid w:val="00AB016A"/>
    <w:rsid w:val="00AB051A"/>
    <w:rsid w:val="00AB05E1"/>
    <w:rsid w:val="00AB0E84"/>
    <w:rsid w:val="00AB10F6"/>
    <w:rsid w:val="00AB2132"/>
    <w:rsid w:val="00AB239A"/>
    <w:rsid w:val="00AB3172"/>
    <w:rsid w:val="00AB328A"/>
    <w:rsid w:val="00AB342B"/>
    <w:rsid w:val="00AB36C1"/>
    <w:rsid w:val="00AB3B77"/>
    <w:rsid w:val="00AB47F4"/>
    <w:rsid w:val="00AB4A66"/>
    <w:rsid w:val="00AB5183"/>
    <w:rsid w:val="00AB548D"/>
    <w:rsid w:val="00AB57F4"/>
    <w:rsid w:val="00AB5E7D"/>
    <w:rsid w:val="00AB68D4"/>
    <w:rsid w:val="00AB6E8A"/>
    <w:rsid w:val="00AB7A2C"/>
    <w:rsid w:val="00AB7C76"/>
    <w:rsid w:val="00AC0A3C"/>
    <w:rsid w:val="00AC0BCB"/>
    <w:rsid w:val="00AC157D"/>
    <w:rsid w:val="00AC1A64"/>
    <w:rsid w:val="00AC2024"/>
    <w:rsid w:val="00AC270B"/>
    <w:rsid w:val="00AC2F2F"/>
    <w:rsid w:val="00AC3224"/>
    <w:rsid w:val="00AC3634"/>
    <w:rsid w:val="00AC3AD8"/>
    <w:rsid w:val="00AC3E2D"/>
    <w:rsid w:val="00AC4DC7"/>
    <w:rsid w:val="00AC4FC1"/>
    <w:rsid w:val="00AC5E0C"/>
    <w:rsid w:val="00AC6529"/>
    <w:rsid w:val="00AC65BF"/>
    <w:rsid w:val="00AC65CC"/>
    <w:rsid w:val="00AC684F"/>
    <w:rsid w:val="00AC6A1C"/>
    <w:rsid w:val="00AC7934"/>
    <w:rsid w:val="00AC7952"/>
    <w:rsid w:val="00AC7AB4"/>
    <w:rsid w:val="00AD00EE"/>
    <w:rsid w:val="00AD0A22"/>
    <w:rsid w:val="00AD1029"/>
    <w:rsid w:val="00AD1114"/>
    <w:rsid w:val="00AD112C"/>
    <w:rsid w:val="00AD1269"/>
    <w:rsid w:val="00AD2098"/>
    <w:rsid w:val="00AD214B"/>
    <w:rsid w:val="00AD2F8C"/>
    <w:rsid w:val="00AD38BB"/>
    <w:rsid w:val="00AD3C3B"/>
    <w:rsid w:val="00AD3DF9"/>
    <w:rsid w:val="00AD4219"/>
    <w:rsid w:val="00AD4965"/>
    <w:rsid w:val="00AD49AD"/>
    <w:rsid w:val="00AD4E7D"/>
    <w:rsid w:val="00AD537C"/>
    <w:rsid w:val="00AD63F7"/>
    <w:rsid w:val="00AD6736"/>
    <w:rsid w:val="00AD6A3C"/>
    <w:rsid w:val="00AD71C3"/>
    <w:rsid w:val="00AD74E7"/>
    <w:rsid w:val="00AD7B31"/>
    <w:rsid w:val="00AD7D23"/>
    <w:rsid w:val="00AE00A1"/>
    <w:rsid w:val="00AE016F"/>
    <w:rsid w:val="00AE0A0A"/>
    <w:rsid w:val="00AE0ADE"/>
    <w:rsid w:val="00AE1C3D"/>
    <w:rsid w:val="00AE2ABB"/>
    <w:rsid w:val="00AE2E3D"/>
    <w:rsid w:val="00AE3058"/>
    <w:rsid w:val="00AE31EA"/>
    <w:rsid w:val="00AE33D2"/>
    <w:rsid w:val="00AE366D"/>
    <w:rsid w:val="00AE4618"/>
    <w:rsid w:val="00AE4717"/>
    <w:rsid w:val="00AE4843"/>
    <w:rsid w:val="00AE4879"/>
    <w:rsid w:val="00AE4E9E"/>
    <w:rsid w:val="00AE5017"/>
    <w:rsid w:val="00AE51DD"/>
    <w:rsid w:val="00AE555B"/>
    <w:rsid w:val="00AE6152"/>
    <w:rsid w:val="00AE746B"/>
    <w:rsid w:val="00AE7B64"/>
    <w:rsid w:val="00AE7FCB"/>
    <w:rsid w:val="00AF0162"/>
    <w:rsid w:val="00AF0971"/>
    <w:rsid w:val="00AF1104"/>
    <w:rsid w:val="00AF113F"/>
    <w:rsid w:val="00AF14C8"/>
    <w:rsid w:val="00AF155F"/>
    <w:rsid w:val="00AF1BA5"/>
    <w:rsid w:val="00AF22EE"/>
    <w:rsid w:val="00AF2794"/>
    <w:rsid w:val="00AF2A1F"/>
    <w:rsid w:val="00AF2A6A"/>
    <w:rsid w:val="00AF3342"/>
    <w:rsid w:val="00AF34B7"/>
    <w:rsid w:val="00AF39A2"/>
    <w:rsid w:val="00AF3D3D"/>
    <w:rsid w:val="00AF4079"/>
    <w:rsid w:val="00AF4754"/>
    <w:rsid w:val="00AF4C94"/>
    <w:rsid w:val="00AF55E3"/>
    <w:rsid w:val="00AF56A5"/>
    <w:rsid w:val="00AF5EFC"/>
    <w:rsid w:val="00AF6457"/>
    <w:rsid w:val="00AF67B4"/>
    <w:rsid w:val="00AF6BB3"/>
    <w:rsid w:val="00AF7324"/>
    <w:rsid w:val="00AF7372"/>
    <w:rsid w:val="00AF74AB"/>
    <w:rsid w:val="00AF7A0A"/>
    <w:rsid w:val="00AF7B0C"/>
    <w:rsid w:val="00B00357"/>
    <w:rsid w:val="00B00394"/>
    <w:rsid w:val="00B00935"/>
    <w:rsid w:val="00B00ADD"/>
    <w:rsid w:val="00B00B36"/>
    <w:rsid w:val="00B00D5C"/>
    <w:rsid w:val="00B011F0"/>
    <w:rsid w:val="00B01434"/>
    <w:rsid w:val="00B01A4B"/>
    <w:rsid w:val="00B02637"/>
    <w:rsid w:val="00B02F55"/>
    <w:rsid w:val="00B040B5"/>
    <w:rsid w:val="00B043B3"/>
    <w:rsid w:val="00B044DD"/>
    <w:rsid w:val="00B048C2"/>
    <w:rsid w:val="00B05145"/>
    <w:rsid w:val="00B05B08"/>
    <w:rsid w:val="00B06251"/>
    <w:rsid w:val="00B065FE"/>
    <w:rsid w:val="00B06FA4"/>
    <w:rsid w:val="00B07532"/>
    <w:rsid w:val="00B07637"/>
    <w:rsid w:val="00B07990"/>
    <w:rsid w:val="00B07A28"/>
    <w:rsid w:val="00B07AF0"/>
    <w:rsid w:val="00B1029B"/>
    <w:rsid w:val="00B10565"/>
    <w:rsid w:val="00B10662"/>
    <w:rsid w:val="00B1087A"/>
    <w:rsid w:val="00B10E8C"/>
    <w:rsid w:val="00B10F7B"/>
    <w:rsid w:val="00B112B3"/>
    <w:rsid w:val="00B11370"/>
    <w:rsid w:val="00B1145D"/>
    <w:rsid w:val="00B11C17"/>
    <w:rsid w:val="00B11CB2"/>
    <w:rsid w:val="00B11D13"/>
    <w:rsid w:val="00B12100"/>
    <w:rsid w:val="00B1261B"/>
    <w:rsid w:val="00B1284E"/>
    <w:rsid w:val="00B12912"/>
    <w:rsid w:val="00B12E87"/>
    <w:rsid w:val="00B134A6"/>
    <w:rsid w:val="00B138E2"/>
    <w:rsid w:val="00B13C46"/>
    <w:rsid w:val="00B14AD9"/>
    <w:rsid w:val="00B14C7D"/>
    <w:rsid w:val="00B14DA2"/>
    <w:rsid w:val="00B1550D"/>
    <w:rsid w:val="00B159F8"/>
    <w:rsid w:val="00B15C90"/>
    <w:rsid w:val="00B15D4E"/>
    <w:rsid w:val="00B16079"/>
    <w:rsid w:val="00B16BFF"/>
    <w:rsid w:val="00B16FB9"/>
    <w:rsid w:val="00B201A4"/>
    <w:rsid w:val="00B2024B"/>
    <w:rsid w:val="00B210C0"/>
    <w:rsid w:val="00B21738"/>
    <w:rsid w:val="00B218D5"/>
    <w:rsid w:val="00B21C0B"/>
    <w:rsid w:val="00B221BD"/>
    <w:rsid w:val="00B2244D"/>
    <w:rsid w:val="00B22510"/>
    <w:rsid w:val="00B2255F"/>
    <w:rsid w:val="00B22953"/>
    <w:rsid w:val="00B22CDE"/>
    <w:rsid w:val="00B23230"/>
    <w:rsid w:val="00B23E55"/>
    <w:rsid w:val="00B23FBC"/>
    <w:rsid w:val="00B24865"/>
    <w:rsid w:val="00B256F6"/>
    <w:rsid w:val="00B2597E"/>
    <w:rsid w:val="00B25E60"/>
    <w:rsid w:val="00B26A99"/>
    <w:rsid w:val="00B26D18"/>
    <w:rsid w:val="00B27505"/>
    <w:rsid w:val="00B27E2A"/>
    <w:rsid w:val="00B3058E"/>
    <w:rsid w:val="00B30BCC"/>
    <w:rsid w:val="00B312BC"/>
    <w:rsid w:val="00B31D1A"/>
    <w:rsid w:val="00B31D8F"/>
    <w:rsid w:val="00B324C4"/>
    <w:rsid w:val="00B3259C"/>
    <w:rsid w:val="00B331F9"/>
    <w:rsid w:val="00B34079"/>
    <w:rsid w:val="00B34919"/>
    <w:rsid w:val="00B3544F"/>
    <w:rsid w:val="00B35B64"/>
    <w:rsid w:val="00B3649F"/>
    <w:rsid w:val="00B366FC"/>
    <w:rsid w:val="00B36C3A"/>
    <w:rsid w:val="00B36C8C"/>
    <w:rsid w:val="00B3714B"/>
    <w:rsid w:val="00B37184"/>
    <w:rsid w:val="00B37D04"/>
    <w:rsid w:val="00B37D45"/>
    <w:rsid w:val="00B40B6B"/>
    <w:rsid w:val="00B40CCE"/>
    <w:rsid w:val="00B4243A"/>
    <w:rsid w:val="00B431E4"/>
    <w:rsid w:val="00B4374B"/>
    <w:rsid w:val="00B43754"/>
    <w:rsid w:val="00B45F6E"/>
    <w:rsid w:val="00B47065"/>
    <w:rsid w:val="00B47485"/>
    <w:rsid w:val="00B47CB2"/>
    <w:rsid w:val="00B51821"/>
    <w:rsid w:val="00B51B92"/>
    <w:rsid w:val="00B52032"/>
    <w:rsid w:val="00B5275B"/>
    <w:rsid w:val="00B52F30"/>
    <w:rsid w:val="00B545BB"/>
    <w:rsid w:val="00B54802"/>
    <w:rsid w:val="00B55770"/>
    <w:rsid w:val="00B55921"/>
    <w:rsid w:val="00B55B4D"/>
    <w:rsid w:val="00B56B27"/>
    <w:rsid w:val="00B56C5F"/>
    <w:rsid w:val="00B56D63"/>
    <w:rsid w:val="00B57119"/>
    <w:rsid w:val="00B57141"/>
    <w:rsid w:val="00B57A8A"/>
    <w:rsid w:val="00B60321"/>
    <w:rsid w:val="00B60523"/>
    <w:rsid w:val="00B60F65"/>
    <w:rsid w:val="00B61159"/>
    <w:rsid w:val="00B611E9"/>
    <w:rsid w:val="00B61EBB"/>
    <w:rsid w:val="00B61F48"/>
    <w:rsid w:val="00B62E30"/>
    <w:rsid w:val="00B63066"/>
    <w:rsid w:val="00B636C1"/>
    <w:rsid w:val="00B63735"/>
    <w:rsid w:val="00B63A22"/>
    <w:rsid w:val="00B63DD8"/>
    <w:rsid w:val="00B63F25"/>
    <w:rsid w:val="00B651B0"/>
    <w:rsid w:val="00B660AF"/>
    <w:rsid w:val="00B66D45"/>
    <w:rsid w:val="00B704C3"/>
    <w:rsid w:val="00B70EE5"/>
    <w:rsid w:val="00B717C6"/>
    <w:rsid w:val="00B7229F"/>
    <w:rsid w:val="00B72783"/>
    <w:rsid w:val="00B72866"/>
    <w:rsid w:val="00B73DD1"/>
    <w:rsid w:val="00B74251"/>
    <w:rsid w:val="00B74368"/>
    <w:rsid w:val="00B75437"/>
    <w:rsid w:val="00B754C3"/>
    <w:rsid w:val="00B75A21"/>
    <w:rsid w:val="00B75A73"/>
    <w:rsid w:val="00B766ED"/>
    <w:rsid w:val="00B76978"/>
    <w:rsid w:val="00B76FF7"/>
    <w:rsid w:val="00B7747F"/>
    <w:rsid w:val="00B775D8"/>
    <w:rsid w:val="00B7779F"/>
    <w:rsid w:val="00B77CF6"/>
    <w:rsid w:val="00B77D8B"/>
    <w:rsid w:val="00B800E1"/>
    <w:rsid w:val="00B80E79"/>
    <w:rsid w:val="00B812FE"/>
    <w:rsid w:val="00B81419"/>
    <w:rsid w:val="00B814B7"/>
    <w:rsid w:val="00B81509"/>
    <w:rsid w:val="00B81E7A"/>
    <w:rsid w:val="00B81FEC"/>
    <w:rsid w:val="00B82419"/>
    <w:rsid w:val="00B82A77"/>
    <w:rsid w:val="00B82A79"/>
    <w:rsid w:val="00B82AC5"/>
    <w:rsid w:val="00B82E0D"/>
    <w:rsid w:val="00B832F5"/>
    <w:rsid w:val="00B83313"/>
    <w:rsid w:val="00B83A6C"/>
    <w:rsid w:val="00B84829"/>
    <w:rsid w:val="00B84EA9"/>
    <w:rsid w:val="00B85238"/>
    <w:rsid w:val="00B85333"/>
    <w:rsid w:val="00B85425"/>
    <w:rsid w:val="00B854B6"/>
    <w:rsid w:val="00B85756"/>
    <w:rsid w:val="00B8619D"/>
    <w:rsid w:val="00B868D4"/>
    <w:rsid w:val="00B86E0E"/>
    <w:rsid w:val="00B87A92"/>
    <w:rsid w:val="00B87D81"/>
    <w:rsid w:val="00B90943"/>
    <w:rsid w:val="00B9176B"/>
    <w:rsid w:val="00B91C6C"/>
    <w:rsid w:val="00B91CD5"/>
    <w:rsid w:val="00B91D6F"/>
    <w:rsid w:val="00B91EAD"/>
    <w:rsid w:val="00B920C4"/>
    <w:rsid w:val="00B92C4D"/>
    <w:rsid w:val="00B92DDC"/>
    <w:rsid w:val="00B92F39"/>
    <w:rsid w:val="00B92FE1"/>
    <w:rsid w:val="00B93758"/>
    <w:rsid w:val="00B93C41"/>
    <w:rsid w:val="00B94A31"/>
    <w:rsid w:val="00B94D03"/>
    <w:rsid w:val="00B95483"/>
    <w:rsid w:val="00B954F6"/>
    <w:rsid w:val="00B95AE3"/>
    <w:rsid w:val="00B969D1"/>
    <w:rsid w:val="00B96ED1"/>
    <w:rsid w:val="00B97166"/>
    <w:rsid w:val="00BA0354"/>
    <w:rsid w:val="00BA05B8"/>
    <w:rsid w:val="00BA0B7B"/>
    <w:rsid w:val="00BA0C1B"/>
    <w:rsid w:val="00BA0F76"/>
    <w:rsid w:val="00BA186D"/>
    <w:rsid w:val="00BA1CA1"/>
    <w:rsid w:val="00BA266F"/>
    <w:rsid w:val="00BA2E06"/>
    <w:rsid w:val="00BA308D"/>
    <w:rsid w:val="00BA32B8"/>
    <w:rsid w:val="00BA37A1"/>
    <w:rsid w:val="00BA3F27"/>
    <w:rsid w:val="00BA41F5"/>
    <w:rsid w:val="00BA464D"/>
    <w:rsid w:val="00BA4D97"/>
    <w:rsid w:val="00BA5737"/>
    <w:rsid w:val="00BA5BE8"/>
    <w:rsid w:val="00BA5DC7"/>
    <w:rsid w:val="00BA68E3"/>
    <w:rsid w:val="00BA69AC"/>
    <w:rsid w:val="00BA6C71"/>
    <w:rsid w:val="00BA6C85"/>
    <w:rsid w:val="00BA7AAD"/>
    <w:rsid w:val="00BA7D41"/>
    <w:rsid w:val="00BA7F23"/>
    <w:rsid w:val="00BB0C22"/>
    <w:rsid w:val="00BB0FF4"/>
    <w:rsid w:val="00BB14C4"/>
    <w:rsid w:val="00BB1E90"/>
    <w:rsid w:val="00BB2300"/>
    <w:rsid w:val="00BB2490"/>
    <w:rsid w:val="00BB26EC"/>
    <w:rsid w:val="00BB2C99"/>
    <w:rsid w:val="00BB2DDB"/>
    <w:rsid w:val="00BB3261"/>
    <w:rsid w:val="00BB348C"/>
    <w:rsid w:val="00BB3610"/>
    <w:rsid w:val="00BB37B4"/>
    <w:rsid w:val="00BB39BF"/>
    <w:rsid w:val="00BB3D1A"/>
    <w:rsid w:val="00BB3ED8"/>
    <w:rsid w:val="00BB5706"/>
    <w:rsid w:val="00BB5860"/>
    <w:rsid w:val="00BB5D86"/>
    <w:rsid w:val="00BB726C"/>
    <w:rsid w:val="00BB76B3"/>
    <w:rsid w:val="00BC0F0D"/>
    <w:rsid w:val="00BC15E6"/>
    <w:rsid w:val="00BC192C"/>
    <w:rsid w:val="00BC1A41"/>
    <w:rsid w:val="00BC1CD9"/>
    <w:rsid w:val="00BC1EC4"/>
    <w:rsid w:val="00BC2D44"/>
    <w:rsid w:val="00BC2F6D"/>
    <w:rsid w:val="00BC3899"/>
    <w:rsid w:val="00BC3D7B"/>
    <w:rsid w:val="00BC3E1D"/>
    <w:rsid w:val="00BC452F"/>
    <w:rsid w:val="00BC5A97"/>
    <w:rsid w:val="00BC71CF"/>
    <w:rsid w:val="00BC73AB"/>
    <w:rsid w:val="00BC7A3D"/>
    <w:rsid w:val="00BD0B61"/>
    <w:rsid w:val="00BD0B80"/>
    <w:rsid w:val="00BD0F3C"/>
    <w:rsid w:val="00BD0FD9"/>
    <w:rsid w:val="00BD205E"/>
    <w:rsid w:val="00BD26AE"/>
    <w:rsid w:val="00BD2B14"/>
    <w:rsid w:val="00BD2D37"/>
    <w:rsid w:val="00BD2DB6"/>
    <w:rsid w:val="00BD336A"/>
    <w:rsid w:val="00BD3888"/>
    <w:rsid w:val="00BD3C64"/>
    <w:rsid w:val="00BD3D02"/>
    <w:rsid w:val="00BD3DBA"/>
    <w:rsid w:val="00BD3E71"/>
    <w:rsid w:val="00BD5072"/>
    <w:rsid w:val="00BD5B9C"/>
    <w:rsid w:val="00BD608C"/>
    <w:rsid w:val="00BD7000"/>
    <w:rsid w:val="00BD7503"/>
    <w:rsid w:val="00BD76F6"/>
    <w:rsid w:val="00BD7798"/>
    <w:rsid w:val="00BD7F50"/>
    <w:rsid w:val="00BE06F1"/>
    <w:rsid w:val="00BE0C43"/>
    <w:rsid w:val="00BE162F"/>
    <w:rsid w:val="00BE1790"/>
    <w:rsid w:val="00BE189A"/>
    <w:rsid w:val="00BE19A7"/>
    <w:rsid w:val="00BE1D12"/>
    <w:rsid w:val="00BE25F9"/>
    <w:rsid w:val="00BE349E"/>
    <w:rsid w:val="00BE37F4"/>
    <w:rsid w:val="00BE388F"/>
    <w:rsid w:val="00BE3D38"/>
    <w:rsid w:val="00BE42D3"/>
    <w:rsid w:val="00BE47CD"/>
    <w:rsid w:val="00BE47DC"/>
    <w:rsid w:val="00BE4CF4"/>
    <w:rsid w:val="00BE4DD7"/>
    <w:rsid w:val="00BE67AA"/>
    <w:rsid w:val="00BE6908"/>
    <w:rsid w:val="00BE6B30"/>
    <w:rsid w:val="00BE7141"/>
    <w:rsid w:val="00BF0257"/>
    <w:rsid w:val="00BF0B14"/>
    <w:rsid w:val="00BF1059"/>
    <w:rsid w:val="00BF1983"/>
    <w:rsid w:val="00BF2209"/>
    <w:rsid w:val="00BF2F81"/>
    <w:rsid w:val="00BF305E"/>
    <w:rsid w:val="00BF3FA1"/>
    <w:rsid w:val="00BF47E9"/>
    <w:rsid w:val="00BF4982"/>
    <w:rsid w:val="00BF4D05"/>
    <w:rsid w:val="00BF4FB8"/>
    <w:rsid w:val="00BF525B"/>
    <w:rsid w:val="00BF5A25"/>
    <w:rsid w:val="00BF5F2F"/>
    <w:rsid w:val="00BF641C"/>
    <w:rsid w:val="00BF698F"/>
    <w:rsid w:val="00BF7D0E"/>
    <w:rsid w:val="00C00593"/>
    <w:rsid w:val="00C008DF"/>
    <w:rsid w:val="00C00B8B"/>
    <w:rsid w:val="00C01003"/>
    <w:rsid w:val="00C01109"/>
    <w:rsid w:val="00C0110A"/>
    <w:rsid w:val="00C01453"/>
    <w:rsid w:val="00C02A8A"/>
    <w:rsid w:val="00C02D3B"/>
    <w:rsid w:val="00C0327F"/>
    <w:rsid w:val="00C039CB"/>
    <w:rsid w:val="00C03A21"/>
    <w:rsid w:val="00C042FE"/>
    <w:rsid w:val="00C04600"/>
    <w:rsid w:val="00C04D44"/>
    <w:rsid w:val="00C04DE7"/>
    <w:rsid w:val="00C055E9"/>
    <w:rsid w:val="00C064A0"/>
    <w:rsid w:val="00C06917"/>
    <w:rsid w:val="00C07078"/>
    <w:rsid w:val="00C07635"/>
    <w:rsid w:val="00C076B5"/>
    <w:rsid w:val="00C07867"/>
    <w:rsid w:val="00C07A46"/>
    <w:rsid w:val="00C07EEC"/>
    <w:rsid w:val="00C10779"/>
    <w:rsid w:val="00C10F55"/>
    <w:rsid w:val="00C1115D"/>
    <w:rsid w:val="00C11658"/>
    <w:rsid w:val="00C12509"/>
    <w:rsid w:val="00C126C4"/>
    <w:rsid w:val="00C12ADD"/>
    <w:rsid w:val="00C12F11"/>
    <w:rsid w:val="00C13706"/>
    <w:rsid w:val="00C148C5"/>
    <w:rsid w:val="00C149A7"/>
    <w:rsid w:val="00C14D8C"/>
    <w:rsid w:val="00C14FA2"/>
    <w:rsid w:val="00C1593A"/>
    <w:rsid w:val="00C15D3F"/>
    <w:rsid w:val="00C16A8A"/>
    <w:rsid w:val="00C173C1"/>
    <w:rsid w:val="00C17A49"/>
    <w:rsid w:val="00C17EFF"/>
    <w:rsid w:val="00C20CE1"/>
    <w:rsid w:val="00C21893"/>
    <w:rsid w:val="00C21F89"/>
    <w:rsid w:val="00C22033"/>
    <w:rsid w:val="00C222F3"/>
    <w:rsid w:val="00C22DC2"/>
    <w:rsid w:val="00C2304F"/>
    <w:rsid w:val="00C23321"/>
    <w:rsid w:val="00C236AF"/>
    <w:rsid w:val="00C23D7E"/>
    <w:rsid w:val="00C23F9F"/>
    <w:rsid w:val="00C24814"/>
    <w:rsid w:val="00C25AC6"/>
    <w:rsid w:val="00C25EAD"/>
    <w:rsid w:val="00C26514"/>
    <w:rsid w:val="00C26BB3"/>
    <w:rsid w:val="00C27090"/>
    <w:rsid w:val="00C27896"/>
    <w:rsid w:val="00C27ED6"/>
    <w:rsid w:val="00C30879"/>
    <w:rsid w:val="00C30E39"/>
    <w:rsid w:val="00C31458"/>
    <w:rsid w:val="00C3196A"/>
    <w:rsid w:val="00C32635"/>
    <w:rsid w:val="00C328E3"/>
    <w:rsid w:val="00C32C8F"/>
    <w:rsid w:val="00C331C3"/>
    <w:rsid w:val="00C33E2F"/>
    <w:rsid w:val="00C34E02"/>
    <w:rsid w:val="00C357C2"/>
    <w:rsid w:val="00C35867"/>
    <w:rsid w:val="00C36127"/>
    <w:rsid w:val="00C3613E"/>
    <w:rsid w:val="00C3654B"/>
    <w:rsid w:val="00C36CFF"/>
    <w:rsid w:val="00C36DE1"/>
    <w:rsid w:val="00C37283"/>
    <w:rsid w:val="00C37BCA"/>
    <w:rsid w:val="00C37DB7"/>
    <w:rsid w:val="00C41249"/>
    <w:rsid w:val="00C41BE1"/>
    <w:rsid w:val="00C41DBA"/>
    <w:rsid w:val="00C42015"/>
    <w:rsid w:val="00C42347"/>
    <w:rsid w:val="00C42D16"/>
    <w:rsid w:val="00C43BDC"/>
    <w:rsid w:val="00C449A8"/>
    <w:rsid w:val="00C44E76"/>
    <w:rsid w:val="00C4516E"/>
    <w:rsid w:val="00C45584"/>
    <w:rsid w:val="00C46335"/>
    <w:rsid w:val="00C46958"/>
    <w:rsid w:val="00C4772B"/>
    <w:rsid w:val="00C478F5"/>
    <w:rsid w:val="00C47A20"/>
    <w:rsid w:val="00C47A99"/>
    <w:rsid w:val="00C47AF1"/>
    <w:rsid w:val="00C50725"/>
    <w:rsid w:val="00C5188A"/>
    <w:rsid w:val="00C52091"/>
    <w:rsid w:val="00C520E8"/>
    <w:rsid w:val="00C52248"/>
    <w:rsid w:val="00C53435"/>
    <w:rsid w:val="00C5354D"/>
    <w:rsid w:val="00C53A11"/>
    <w:rsid w:val="00C5493B"/>
    <w:rsid w:val="00C54B41"/>
    <w:rsid w:val="00C54D7C"/>
    <w:rsid w:val="00C551F9"/>
    <w:rsid w:val="00C5636D"/>
    <w:rsid w:val="00C56529"/>
    <w:rsid w:val="00C568EA"/>
    <w:rsid w:val="00C57173"/>
    <w:rsid w:val="00C5773C"/>
    <w:rsid w:val="00C60562"/>
    <w:rsid w:val="00C60D27"/>
    <w:rsid w:val="00C60DF9"/>
    <w:rsid w:val="00C611F5"/>
    <w:rsid w:val="00C61809"/>
    <w:rsid w:val="00C61E24"/>
    <w:rsid w:val="00C62613"/>
    <w:rsid w:val="00C62DDD"/>
    <w:rsid w:val="00C63071"/>
    <w:rsid w:val="00C63172"/>
    <w:rsid w:val="00C643E4"/>
    <w:rsid w:val="00C645AC"/>
    <w:rsid w:val="00C651AE"/>
    <w:rsid w:val="00C656B8"/>
    <w:rsid w:val="00C65D2D"/>
    <w:rsid w:val="00C65F83"/>
    <w:rsid w:val="00C6640B"/>
    <w:rsid w:val="00C668AA"/>
    <w:rsid w:val="00C66F46"/>
    <w:rsid w:val="00C671A4"/>
    <w:rsid w:val="00C676E2"/>
    <w:rsid w:val="00C67A96"/>
    <w:rsid w:val="00C67C73"/>
    <w:rsid w:val="00C70248"/>
    <w:rsid w:val="00C70306"/>
    <w:rsid w:val="00C703EE"/>
    <w:rsid w:val="00C70996"/>
    <w:rsid w:val="00C71033"/>
    <w:rsid w:val="00C71279"/>
    <w:rsid w:val="00C713AE"/>
    <w:rsid w:val="00C716BA"/>
    <w:rsid w:val="00C717EF"/>
    <w:rsid w:val="00C72D22"/>
    <w:rsid w:val="00C72ECC"/>
    <w:rsid w:val="00C73097"/>
    <w:rsid w:val="00C73252"/>
    <w:rsid w:val="00C73AF2"/>
    <w:rsid w:val="00C740AF"/>
    <w:rsid w:val="00C74154"/>
    <w:rsid w:val="00C75863"/>
    <w:rsid w:val="00C7586E"/>
    <w:rsid w:val="00C758C8"/>
    <w:rsid w:val="00C76403"/>
    <w:rsid w:val="00C813A9"/>
    <w:rsid w:val="00C813B8"/>
    <w:rsid w:val="00C82895"/>
    <w:rsid w:val="00C836E2"/>
    <w:rsid w:val="00C84043"/>
    <w:rsid w:val="00C85088"/>
    <w:rsid w:val="00C852F9"/>
    <w:rsid w:val="00C85350"/>
    <w:rsid w:val="00C85D0D"/>
    <w:rsid w:val="00C85D73"/>
    <w:rsid w:val="00C86456"/>
    <w:rsid w:val="00C86FB8"/>
    <w:rsid w:val="00C870CA"/>
    <w:rsid w:val="00C87A1C"/>
    <w:rsid w:val="00C87C6C"/>
    <w:rsid w:val="00C87CD4"/>
    <w:rsid w:val="00C87EB7"/>
    <w:rsid w:val="00C90833"/>
    <w:rsid w:val="00C9219F"/>
    <w:rsid w:val="00C92A1A"/>
    <w:rsid w:val="00C93636"/>
    <w:rsid w:val="00C9489B"/>
    <w:rsid w:val="00C94A7E"/>
    <w:rsid w:val="00C95302"/>
    <w:rsid w:val="00C96169"/>
    <w:rsid w:val="00C96319"/>
    <w:rsid w:val="00C96572"/>
    <w:rsid w:val="00C9684A"/>
    <w:rsid w:val="00C96B61"/>
    <w:rsid w:val="00C97648"/>
    <w:rsid w:val="00C976CD"/>
    <w:rsid w:val="00C9783D"/>
    <w:rsid w:val="00CA041D"/>
    <w:rsid w:val="00CA066A"/>
    <w:rsid w:val="00CA0E89"/>
    <w:rsid w:val="00CA1324"/>
    <w:rsid w:val="00CA1684"/>
    <w:rsid w:val="00CA1B76"/>
    <w:rsid w:val="00CA1C3A"/>
    <w:rsid w:val="00CA1CE6"/>
    <w:rsid w:val="00CA212B"/>
    <w:rsid w:val="00CA253B"/>
    <w:rsid w:val="00CA313C"/>
    <w:rsid w:val="00CA3548"/>
    <w:rsid w:val="00CA3635"/>
    <w:rsid w:val="00CA3ACF"/>
    <w:rsid w:val="00CA3CB9"/>
    <w:rsid w:val="00CA3EC4"/>
    <w:rsid w:val="00CA3ED5"/>
    <w:rsid w:val="00CA42B4"/>
    <w:rsid w:val="00CA467E"/>
    <w:rsid w:val="00CA48B0"/>
    <w:rsid w:val="00CA5082"/>
    <w:rsid w:val="00CA50DA"/>
    <w:rsid w:val="00CA5373"/>
    <w:rsid w:val="00CA56CC"/>
    <w:rsid w:val="00CA5B8F"/>
    <w:rsid w:val="00CA5DF2"/>
    <w:rsid w:val="00CA6C11"/>
    <w:rsid w:val="00CA6C57"/>
    <w:rsid w:val="00CA72AE"/>
    <w:rsid w:val="00CA735C"/>
    <w:rsid w:val="00CA76CE"/>
    <w:rsid w:val="00CA7930"/>
    <w:rsid w:val="00CB00D1"/>
    <w:rsid w:val="00CB0A73"/>
    <w:rsid w:val="00CB0AB7"/>
    <w:rsid w:val="00CB0B3D"/>
    <w:rsid w:val="00CB0C7E"/>
    <w:rsid w:val="00CB16AC"/>
    <w:rsid w:val="00CB1BE4"/>
    <w:rsid w:val="00CB1D86"/>
    <w:rsid w:val="00CB2BBD"/>
    <w:rsid w:val="00CB2BF0"/>
    <w:rsid w:val="00CB2C05"/>
    <w:rsid w:val="00CB30A7"/>
    <w:rsid w:val="00CB359E"/>
    <w:rsid w:val="00CB36DE"/>
    <w:rsid w:val="00CB3F38"/>
    <w:rsid w:val="00CB452C"/>
    <w:rsid w:val="00CB47B5"/>
    <w:rsid w:val="00CB4B33"/>
    <w:rsid w:val="00CB4CB3"/>
    <w:rsid w:val="00CB4F4F"/>
    <w:rsid w:val="00CB5B08"/>
    <w:rsid w:val="00CB5B3A"/>
    <w:rsid w:val="00CB5BCE"/>
    <w:rsid w:val="00CB611C"/>
    <w:rsid w:val="00CB6F91"/>
    <w:rsid w:val="00CB792C"/>
    <w:rsid w:val="00CB799A"/>
    <w:rsid w:val="00CB7E18"/>
    <w:rsid w:val="00CC087A"/>
    <w:rsid w:val="00CC087C"/>
    <w:rsid w:val="00CC135C"/>
    <w:rsid w:val="00CC1A74"/>
    <w:rsid w:val="00CC1AEF"/>
    <w:rsid w:val="00CC25A3"/>
    <w:rsid w:val="00CC275B"/>
    <w:rsid w:val="00CC2798"/>
    <w:rsid w:val="00CC371B"/>
    <w:rsid w:val="00CC3B37"/>
    <w:rsid w:val="00CC3D1E"/>
    <w:rsid w:val="00CC4484"/>
    <w:rsid w:val="00CC4495"/>
    <w:rsid w:val="00CC452C"/>
    <w:rsid w:val="00CC50F6"/>
    <w:rsid w:val="00CC5537"/>
    <w:rsid w:val="00CC572E"/>
    <w:rsid w:val="00CC5C63"/>
    <w:rsid w:val="00CC5DFF"/>
    <w:rsid w:val="00CC60B9"/>
    <w:rsid w:val="00CC6972"/>
    <w:rsid w:val="00CC75A0"/>
    <w:rsid w:val="00CD0A4C"/>
    <w:rsid w:val="00CD11C9"/>
    <w:rsid w:val="00CD1940"/>
    <w:rsid w:val="00CD1B3D"/>
    <w:rsid w:val="00CD228B"/>
    <w:rsid w:val="00CD2426"/>
    <w:rsid w:val="00CD31A3"/>
    <w:rsid w:val="00CD3475"/>
    <w:rsid w:val="00CD370D"/>
    <w:rsid w:val="00CD3745"/>
    <w:rsid w:val="00CD432E"/>
    <w:rsid w:val="00CD44A4"/>
    <w:rsid w:val="00CD455C"/>
    <w:rsid w:val="00CD4875"/>
    <w:rsid w:val="00CD4BEF"/>
    <w:rsid w:val="00CD55BE"/>
    <w:rsid w:val="00CD5656"/>
    <w:rsid w:val="00CD68C6"/>
    <w:rsid w:val="00CD6ADE"/>
    <w:rsid w:val="00CD7CE8"/>
    <w:rsid w:val="00CD7DE3"/>
    <w:rsid w:val="00CE0504"/>
    <w:rsid w:val="00CE099B"/>
    <w:rsid w:val="00CE0D43"/>
    <w:rsid w:val="00CE0DC0"/>
    <w:rsid w:val="00CE12AA"/>
    <w:rsid w:val="00CE135B"/>
    <w:rsid w:val="00CE1907"/>
    <w:rsid w:val="00CE2388"/>
    <w:rsid w:val="00CE25FA"/>
    <w:rsid w:val="00CE393B"/>
    <w:rsid w:val="00CE3A75"/>
    <w:rsid w:val="00CE3D3B"/>
    <w:rsid w:val="00CE44F1"/>
    <w:rsid w:val="00CE47E6"/>
    <w:rsid w:val="00CE5689"/>
    <w:rsid w:val="00CE580D"/>
    <w:rsid w:val="00CE6049"/>
    <w:rsid w:val="00CE6B14"/>
    <w:rsid w:val="00CE6D3F"/>
    <w:rsid w:val="00CE77A4"/>
    <w:rsid w:val="00CE7E68"/>
    <w:rsid w:val="00CF0001"/>
    <w:rsid w:val="00CF04E9"/>
    <w:rsid w:val="00CF0646"/>
    <w:rsid w:val="00CF0A67"/>
    <w:rsid w:val="00CF0E8E"/>
    <w:rsid w:val="00CF0ED4"/>
    <w:rsid w:val="00CF0FB9"/>
    <w:rsid w:val="00CF11D2"/>
    <w:rsid w:val="00CF1B8B"/>
    <w:rsid w:val="00CF2377"/>
    <w:rsid w:val="00CF240A"/>
    <w:rsid w:val="00CF40B9"/>
    <w:rsid w:val="00CF4622"/>
    <w:rsid w:val="00CF46C3"/>
    <w:rsid w:val="00CF4936"/>
    <w:rsid w:val="00CF4BBA"/>
    <w:rsid w:val="00CF5223"/>
    <w:rsid w:val="00CF5E93"/>
    <w:rsid w:val="00CF7036"/>
    <w:rsid w:val="00CF7055"/>
    <w:rsid w:val="00D009C4"/>
    <w:rsid w:val="00D00AA1"/>
    <w:rsid w:val="00D0106D"/>
    <w:rsid w:val="00D013D7"/>
    <w:rsid w:val="00D01420"/>
    <w:rsid w:val="00D015DD"/>
    <w:rsid w:val="00D01E6C"/>
    <w:rsid w:val="00D02E0C"/>
    <w:rsid w:val="00D02ECF"/>
    <w:rsid w:val="00D03015"/>
    <w:rsid w:val="00D0342A"/>
    <w:rsid w:val="00D041AF"/>
    <w:rsid w:val="00D043D1"/>
    <w:rsid w:val="00D0448C"/>
    <w:rsid w:val="00D0523F"/>
    <w:rsid w:val="00D0582E"/>
    <w:rsid w:val="00D05AF3"/>
    <w:rsid w:val="00D05D33"/>
    <w:rsid w:val="00D0649E"/>
    <w:rsid w:val="00D072C3"/>
    <w:rsid w:val="00D07C7A"/>
    <w:rsid w:val="00D07CEA"/>
    <w:rsid w:val="00D10009"/>
    <w:rsid w:val="00D118DD"/>
    <w:rsid w:val="00D11CF8"/>
    <w:rsid w:val="00D1216D"/>
    <w:rsid w:val="00D12CC0"/>
    <w:rsid w:val="00D134AC"/>
    <w:rsid w:val="00D13F34"/>
    <w:rsid w:val="00D1408E"/>
    <w:rsid w:val="00D144E1"/>
    <w:rsid w:val="00D146A4"/>
    <w:rsid w:val="00D149FB"/>
    <w:rsid w:val="00D14FE1"/>
    <w:rsid w:val="00D16327"/>
    <w:rsid w:val="00D16911"/>
    <w:rsid w:val="00D16BB9"/>
    <w:rsid w:val="00D174E1"/>
    <w:rsid w:val="00D17ED7"/>
    <w:rsid w:val="00D20057"/>
    <w:rsid w:val="00D20580"/>
    <w:rsid w:val="00D20B17"/>
    <w:rsid w:val="00D20BAE"/>
    <w:rsid w:val="00D21370"/>
    <w:rsid w:val="00D21834"/>
    <w:rsid w:val="00D21C92"/>
    <w:rsid w:val="00D220DD"/>
    <w:rsid w:val="00D2231B"/>
    <w:rsid w:val="00D2264D"/>
    <w:rsid w:val="00D237FD"/>
    <w:rsid w:val="00D23897"/>
    <w:rsid w:val="00D23A1B"/>
    <w:rsid w:val="00D2492F"/>
    <w:rsid w:val="00D2515D"/>
    <w:rsid w:val="00D253B3"/>
    <w:rsid w:val="00D26D2A"/>
    <w:rsid w:val="00D26ECE"/>
    <w:rsid w:val="00D275CE"/>
    <w:rsid w:val="00D306F8"/>
    <w:rsid w:val="00D3098F"/>
    <w:rsid w:val="00D30CD8"/>
    <w:rsid w:val="00D30D22"/>
    <w:rsid w:val="00D31341"/>
    <w:rsid w:val="00D3145C"/>
    <w:rsid w:val="00D31D50"/>
    <w:rsid w:val="00D329AE"/>
    <w:rsid w:val="00D32A7B"/>
    <w:rsid w:val="00D3334D"/>
    <w:rsid w:val="00D34063"/>
    <w:rsid w:val="00D340D2"/>
    <w:rsid w:val="00D34736"/>
    <w:rsid w:val="00D34E36"/>
    <w:rsid w:val="00D3553F"/>
    <w:rsid w:val="00D35B3A"/>
    <w:rsid w:val="00D363CA"/>
    <w:rsid w:val="00D36B7E"/>
    <w:rsid w:val="00D36CEF"/>
    <w:rsid w:val="00D3712D"/>
    <w:rsid w:val="00D374EE"/>
    <w:rsid w:val="00D4002A"/>
    <w:rsid w:val="00D409FD"/>
    <w:rsid w:val="00D40ADE"/>
    <w:rsid w:val="00D41567"/>
    <w:rsid w:val="00D41E3F"/>
    <w:rsid w:val="00D42324"/>
    <w:rsid w:val="00D4236E"/>
    <w:rsid w:val="00D4281B"/>
    <w:rsid w:val="00D42877"/>
    <w:rsid w:val="00D4334C"/>
    <w:rsid w:val="00D436AF"/>
    <w:rsid w:val="00D4371D"/>
    <w:rsid w:val="00D44749"/>
    <w:rsid w:val="00D44AA8"/>
    <w:rsid w:val="00D44C9F"/>
    <w:rsid w:val="00D44ED3"/>
    <w:rsid w:val="00D450A5"/>
    <w:rsid w:val="00D45138"/>
    <w:rsid w:val="00D451A0"/>
    <w:rsid w:val="00D467C2"/>
    <w:rsid w:val="00D46D4C"/>
    <w:rsid w:val="00D47242"/>
    <w:rsid w:val="00D47287"/>
    <w:rsid w:val="00D473F2"/>
    <w:rsid w:val="00D47472"/>
    <w:rsid w:val="00D47595"/>
    <w:rsid w:val="00D47C9E"/>
    <w:rsid w:val="00D47E9E"/>
    <w:rsid w:val="00D51BFC"/>
    <w:rsid w:val="00D52915"/>
    <w:rsid w:val="00D52CAF"/>
    <w:rsid w:val="00D532F1"/>
    <w:rsid w:val="00D53478"/>
    <w:rsid w:val="00D53F50"/>
    <w:rsid w:val="00D541D4"/>
    <w:rsid w:val="00D5502D"/>
    <w:rsid w:val="00D55CE3"/>
    <w:rsid w:val="00D55CFF"/>
    <w:rsid w:val="00D570F5"/>
    <w:rsid w:val="00D57130"/>
    <w:rsid w:val="00D574A4"/>
    <w:rsid w:val="00D60091"/>
    <w:rsid w:val="00D60571"/>
    <w:rsid w:val="00D621C2"/>
    <w:rsid w:val="00D621EA"/>
    <w:rsid w:val="00D632EF"/>
    <w:rsid w:val="00D63B8F"/>
    <w:rsid w:val="00D63D33"/>
    <w:rsid w:val="00D63EFE"/>
    <w:rsid w:val="00D6491C"/>
    <w:rsid w:val="00D649D0"/>
    <w:rsid w:val="00D65689"/>
    <w:rsid w:val="00D65AE4"/>
    <w:rsid w:val="00D660B8"/>
    <w:rsid w:val="00D6637D"/>
    <w:rsid w:val="00D66510"/>
    <w:rsid w:val="00D66CB8"/>
    <w:rsid w:val="00D66F22"/>
    <w:rsid w:val="00D6741F"/>
    <w:rsid w:val="00D677B5"/>
    <w:rsid w:val="00D722C5"/>
    <w:rsid w:val="00D7291A"/>
    <w:rsid w:val="00D72B8C"/>
    <w:rsid w:val="00D737B6"/>
    <w:rsid w:val="00D73BCB"/>
    <w:rsid w:val="00D744B2"/>
    <w:rsid w:val="00D748DF"/>
    <w:rsid w:val="00D74C42"/>
    <w:rsid w:val="00D74EC7"/>
    <w:rsid w:val="00D7555C"/>
    <w:rsid w:val="00D7562E"/>
    <w:rsid w:val="00D75A87"/>
    <w:rsid w:val="00D75C1F"/>
    <w:rsid w:val="00D75E58"/>
    <w:rsid w:val="00D76238"/>
    <w:rsid w:val="00D76261"/>
    <w:rsid w:val="00D76402"/>
    <w:rsid w:val="00D76C4C"/>
    <w:rsid w:val="00D770E9"/>
    <w:rsid w:val="00D77685"/>
    <w:rsid w:val="00D800C1"/>
    <w:rsid w:val="00D80B02"/>
    <w:rsid w:val="00D80BEB"/>
    <w:rsid w:val="00D812D8"/>
    <w:rsid w:val="00D8156E"/>
    <w:rsid w:val="00D82634"/>
    <w:rsid w:val="00D8279A"/>
    <w:rsid w:val="00D8337C"/>
    <w:rsid w:val="00D83542"/>
    <w:rsid w:val="00D8404D"/>
    <w:rsid w:val="00D84435"/>
    <w:rsid w:val="00D84FC6"/>
    <w:rsid w:val="00D853A9"/>
    <w:rsid w:val="00D859E3"/>
    <w:rsid w:val="00D85A65"/>
    <w:rsid w:val="00D85AE5"/>
    <w:rsid w:val="00D869FA"/>
    <w:rsid w:val="00D875D1"/>
    <w:rsid w:val="00D87BAE"/>
    <w:rsid w:val="00D87F65"/>
    <w:rsid w:val="00D90351"/>
    <w:rsid w:val="00D9048D"/>
    <w:rsid w:val="00D9070D"/>
    <w:rsid w:val="00D90E69"/>
    <w:rsid w:val="00D922C0"/>
    <w:rsid w:val="00D92BB7"/>
    <w:rsid w:val="00D92C62"/>
    <w:rsid w:val="00D92D80"/>
    <w:rsid w:val="00D9301B"/>
    <w:rsid w:val="00D9321E"/>
    <w:rsid w:val="00D933EA"/>
    <w:rsid w:val="00D93ABE"/>
    <w:rsid w:val="00D93D24"/>
    <w:rsid w:val="00D93E48"/>
    <w:rsid w:val="00D942EF"/>
    <w:rsid w:val="00D944F5"/>
    <w:rsid w:val="00D945EB"/>
    <w:rsid w:val="00D949E5"/>
    <w:rsid w:val="00D94FF0"/>
    <w:rsid w:val="00D971D7"/>
    <w:rsid w:val="00D97535"/>
    <w:rsid w:val="00DA036D"/>
    <w:rsid w:val="00DA0658"/>
    <w:rsid w:val="00DA0D76"/>
    <w:rsid w:val="00DA1050"/>
    <w:rsid w:val="00DA197E"/>
    <w:rsid w:val="00DA1F1E"/>
    <w:rsid w:val="00DA218B"/>
    <w:rsid w:val="00DA243E"/>
    <w:rsid w:val="00DA2461"/>
    <w:rsid w:val="00DA2465"/>
    <w:rsid w:val="00DA27CD"/>
    <w:rsid w:val="00DA4A25"/>
    <w:rsid w:val="00DA4B55"/>
    <w:rsid w:val="00DA4B85"/>
    <w:rsid w:val="00DA539A"/>
    <w:rsid w:val="00DA5C19"/>
    <w:rsid w:val="00DA5C71"/>
    <w:rsid w:val="00DA6415"/>
    <w:rsid w:val="00DA6AC7"/>
    <w:rsid w:val="00DA6D78"/>
    <w:rsid w:val="00DA6D98"/>
    <w:rsid w:val="00DA6DED"/>
    <w:rsid w:val="00DA6EB9"/>
    <w:rsid w:val="00DA72F2"/>
    <w:rsid w:val="00DA779A"/>
    <w:rsid w:val="00DA7F6C"/>
    <w:rsid w:val="00DB0745"/>
    <w:rsid w:val="00DB08A4"/>
    <w:rsid w:val="00DB0A62"/>
    <w:rsid w:val="00DB0AD3"/>
    <w:rsid w:val="00DB1F86"/>
    <w:rsid w:val="00DB2158"/>
    <w:rsid w:val="00DB23B6"/>
    <w:rsid w:val="00DB3246"/>
    <w:rsid w:val="00DB3417"/>
    <w:rsid w:val="00DB3C7C"/>
    <w:rsid w:val="00DB3E2A"/>
    <w:rsid w:val="00DB496E"/>
    <w:rsid w:val="00DB556D"/>
    <w:rsid w:val="00DB5A23"/>
    <w:rsid w:val="00DB6177"/>
    <w:rsid w:val="00DB70C7"/>
    <w:rsid w:val="00DB7A9A"/>
    <w:rsid w:val="00DB7F69"/>
    <w:rsid w:val="00DC064D"/>
    <w:rsid w:val="00DC0B4C"/>
    <w:rsid w:val="00DC2454"/>
    <w:rsid w:val="00DC2953"/>
    <w:rsid w:val="00DC29A0"/>
    <w:rsid w:val="00DC2AE5"/>
    <w:rsid w:val="00DC33D2"/>
    <w:rsid w:val="00DC46E5"/>
    <w:rsid w:val="00DC5EBC"/>
    <w:rsid w:val="00DC612A"/>
    <w:rsid w:val="00DC626B"/>
    <w:rsid w:val="00DC695D"/>
    <w:rsid w:val="00DC7495"/>
    <w:rsid w:val="00DD00B9"/>
    <w:rsid w:val="00DD020F"/>
    <w:rsid w:val="00DD058F"/>
    <w:rsid w:val="00DD0DBE"/>
    <w:rsid w:val="00DD153D"/>
    <w:rsid w:val="00DD1C87"/>
    <w:rsid w:val="00DD280E"/>
    <w:rsid w:val="00DD3131"/>
    <w:rsid w:val="00DD31F8"/>
    <w:rsid w:val="00DD3268"/>
    <w:rsid w:val="00DD3671"/>
    <w:rsid w:val="00DD380F"/>
    <w:rsid w:val="00DD397D"/>
    <w:rsid w:val="00DD4564"/>
    <w:rsid w:val="00DD4A03"/>
    <w:rsid w:val="00DD555A"/>
    <w:rsid w:val="00DD5CE1"/>
    <w:rsid w:val="00DD602A"/>
    <w:rsid w:val="00DD61A8"/>
    <w:rsid w:val="00DD63D0"/>
    <w:rsid w:val="00DD6BF3"/>
    <w:rsid w:val="00DD6C88"/>
    <w:rsid w:val="00DD7B73"/>
    <w:rsid w:val="00DE00DF"/>
    <w:rsid w:val="00DE0A1C"/>
    <w:rsid w:val="00DE0C5A"/>
    <w:rsid w:val="00DE10EC"/>
    <w:rsid w:val="00DE45FC"/>
    <w:rsid w:val="00DE5234"/>
    <w:rsid w:val="00DE5ACF"/>
    <w:rsid w:val="00DE5CD1"/>
    <w:rsid w:val="00DE5D50"/>
    <w:rsid w:val="00DE5EFB"/>
    <w:rsid w:val="00DE61A4"/>
    <w:rsid w:val="00DE66E3"/>
    <w:rsid w:val="00DE67BE"/>
    <w:rsid w:val="00DE68E5"/>
    <w:rsid w:val="00DE690C"/>
    <w:rsid w:val="00DE6989"/>
    <w:rsid w:val="00DE7019"/>
    <w:rsid w:val="00DE78E4"/>
    <w:rsid w:val="00DE7A50"/>
    <w:rsid w:val="00DE7E6D"/>
    <w:rsid w:val="00DF049B"/>
    <w:rsid w:val="00DF0876"/>
    <w:rsid w:val="00DF0B46"/>
    <w:rsid w:val="00DF0BE5"/>
    <w:rsid w:val="00DF0E44"/>
    <w:rsid w:val="00DF1E01"/>
    <w:rsid w:val="00DF1E29"/>
    <w:rsid w:val="00DF1F31"/>
    <w:rsid w:val="00DF23E3"/>
    <w:rsid w:val="00DF2D88"/>
    <w:rsid w:val="00DF322B"/>
    <w:rsid w:val="00DF3499"/>
    <w:rsid w:val="00DF47FC"/>
    <w:rsid w:val="00DF5BD6"/>
    <w:rsid w:val="00DF6533"/>
    <w:rsid w:val="00DF6648"/>
    <w:rsid w:val="00DF68E2"/>
    <w:rsid w:val="00DF69E0"/>
    <w:rsid w:val="00DF6FFE"/>
    <w:rsid w:val="00DF74FB"/>
    <w:rsid w:val="00E00234"/>
    <w:rsid w:val="00E01864"/>
    <w:rsid w:val="00E02012"/>
    <w:rsid w:val="00E022EB"/>
    <w:rsid w:val="00E02678"/>
    <w:rsid w:val="00E02DFD"/>
    <w:rsid w:val="00E033D2"/>
    <w:rsid w:val="00E0375C"/>
    <w:rsid w:val="00E039EF"/>
    <w:rsid w:val="00E03F8D"/>
    <w:rsid w:val="00E0459F"/>
    <w:rsid w:val="00E05DD6"/>
    <w:rsid w:val="00E05DE8"/>
    <w:rsid w:val="00E062C5"/>
    <w:rsid w:val="00E06687"/>
    <w:rsid w:val="00E06A4D"/>
    <w:rsid w:val="00E06DC2"/>
    <w:rsid w:val="00E07221"/>
    <w:rsid w:val="00E07588"/>
    <w:rsid w:val="00E07F57"/>
    <w:rsid w:val="00E101FB"/>
    <w:rsid w:val="00E1023B"/>
    <w:rsid w:val="00E1069C"/>
    <w:rsid w:val="00E10F28"/>
    <w:rsid w:val="00E11359"/>
    <w:rsid w:val="00E11400"/>
    <w:rsid w:val="00E11753"/>
    <w:rsid w:val="00E11A03"/>
    <w:rsid w:val="00E11B24"/>
    <w:rsid w:val="00E123EE"/>
    <w:rsid w:val="00E12DED"/>
    <w:rsid w:val="00E13640"/>
    <w:rsid w:val="00E13AFC"/>
    <w:rsid w:val="00E13E03"/>
    <w:rsid w:val="00E13E9B"/>
    <w:rsid w:val="00E140A4"/>
    <w:rsid w:val="00E14262"/>
    <w:rsid w:val="00E144F7"/>
    <w:rsid w:val="00E154AE"/>
    <w:rsid w:val="00E1559B"/>
    <w:rsid w:val="00E15BDA"/>
    <w:rsid w:val="00E15C10"/>
    <w:rsid w:val="00E15CDB"/>
    <w:rsid w:val="00E1619F"/>
    <w:rsid w:val="00E16B5A"/>
    <w:rsid w:val="00E17538"/>
    <w:rsid w:val="00E175EA"/>
    <w:rsid w:val="00E176E7"/>
    <w:rsid w:val="00E20CEB"/>
    <w:rsid w:val="00E213B3"/>
    <w:rsid w:val="00E235A9"/>
    <w:rsid w:val="00E239B9"/>
    <w:rsid w:val="00E23AB6"/>
    <w:rsid w:val="00E24070"/>
    <w:rsid w:val="00E24235"/>
    <w:rsid w:val="00E24A83"/>
    <w:rsid w:val="00E250C1"/>
    <w:rsid w:val="00E256DE"/>
    <w:rsid w:val="00E258D9"/>
    <w:rsid w:val="00E272C3"/>
    <w:rsid w:val="00E276CE"/>
    <w:rsid w:val="00E27E20"/>
    <w:rsid w:val="00E301F1"/>
    <w:rsid w:val="00E30472"/>
    <w:rsid w:val="00E304CC"/>
    <w:rsid w:val="00E3178B"/>
    <w:rsid w:val="00E31B62"/>
    <w:rsid w:val="00E31E48"/>
    <w:rsid w:val="00E31E53"/>
    <w:rsid w:val="00E32813"/>
    <w:rsid w:val="00E33087"/>
    <w:rsid w:val="00E330F5"/>
    <w:rsid w:val="00E33942"/>
    <w:rsid w:val="00E3397B"/>
    <w:rsid w:val="00E33DE5"/>
    <w:rsid w:val="00E34CB4"/>
    <w:rsid w:val="00E354FA"/>
    <w:rsid w:val="00E358D8"/>
    <w:rsid w:val="00E35FA1"/>
    <w:rsid w:val="00E365FA"/>
    <w:rsid w:val="00E3672D"/>
    <w:rsid w:val="00E367C5"/>
    <w:rsid w:val="00E36A54"/>
    <w:rsid w:val="00E3727F"/>
    <w:rsid w:val="00E37BAA"/>
    <w:rsid w:val="00E41373"/>
    <w:rsid w:val="00E413EB"/>
    <w:rsid w:val="00E415F6"/>
    <w:rsid w:val="00E42111"/>
    <w:rsid w:val="00E42501"/>
    <w:rsid w:val="00E425A1"/>
    <w:rsid w:val="00E42A5E"/>
    <w:rsid w:val="00E42F51"/>
    <w:rsid w:val="00E438F0"/>
    <w:rsid w:val="00E43A65"/>
    <w:rsid w:val="00E43FC4"/>
    <w:rsid w:val="00E44A27"/>
    <w:rsid w:val="00E44DAD"/>
    <w:rsid w:val="00E46970"/>
    <w:rsid w:val="00E46B36"/>
    <w:rsid w:val="00E47188"/>
    <w:rsid w:val="00E47D57"/>
    <w:rsid w:val="00E47E32"/>
    <w:rsid w:val="00E506CF"/>
    <w:rsid w:val="00E51009"/>
    <w:rsid w:val="00E5105F"/>
    <w:rsid w:val="00E5132D"/>
    <w:rsid w:val="00E5151C"/>
    <w:rsid w:val="00E5189D"/>
    <w:rsid w:val="00E51B9F"/>
    <w:rsid w:val="00E52445"/>
    <w:rsid w:val="00E52657"/>
    <w:rsid w:val="00E52898"/>
    <w:rsid w:val="00E528F8"/>
    <w:rsid w:val="00E52F73"/>
    <w:rsid w:val="00E53259"/>
    <w:rsid w:val="00E53578"/>
    <w:rsid w:val="00E537BB"/>
    <w:rsid w:val="00E538D8"/>
    <w:rsid w:val="00E53B22"/>
    <w:rsid w:val="00E53ED2"/>
    <w:rsid w:val="00E5400F"/>
    <w:rsid w:val="00E54361"/>
    <w:rsid w:val="00E5440B"/>
    <w:rsid w:val="00E545D9"/>
    <w:rsid w:val="00E55430"/>
    <w:rsid w:val="00E5598F"/>
    <w:rsid w:val="00E56424"/>
    <w:rsid w:val="00E56472"/>
    <w:rsid w:val="00E564F2"/>
    <w:rsid w:val="00E57683"/>
    <w:rsid w:val="00E57997"/>
    <w:rsid w:val="00E57B88"/>
    <w:rsid w:val="00E57CC9"/>
    <w:rsid w:val="00E60B2A"/>
    <w:rsid w:val="00E60BAB"/>
    <w:rsid w:val="00E611EE"/>
    <w:rsid w:val="00E613F9"/>
    <w:rsid w:val="00E61B5C"/>
    <w:rsid w:val="00E61E55"/>
    <w:rsid w:val="00E6232F"/>
    <w:rsid w:val="00E62824"/>
    <w:rsid w:val="00E62EDB"/>
    <w:rsid w:val="00E636A1"/>
    <w:rsid w:val="00E63B16"/>
    <w:rsid w:val="00E6400C"/>
    <w:rsid w:val="00E65206"/>
    <w:rsid w:val="00E660F5"/>
    <w:rsid w:val="00E664C7"/>
    <w:rsid w:val="00E66AB5"/>
    <w:rsid w:val="00E66BAD"/>
    <w:rsid w:val="00E673D9"/>
    <w:rsid w:val="00E700D2"/>
    <w:rsid w:val="00E70F3B"/>
    <w:rsid w:val="00E71209"/>
    <w:rsid w:val="00E71C87"/>
    <w:rsid w:val="00E72107"/>
    <w:rsid w:val="00E723AB"/>
    <w:rsid w:val="00E72A24"/>
    <w:rsid w:val="00E7341F"/>
    <w:rsid w:val="00E7351B"/>
    <w:rsid w:val="00E73C13"/>
    <w:rsid w:val="00E73F85"/>
    <w:rsid w:val="00E74D8B"/>
    <w:rsid w:val="00E750D5"/>
    <w:rsid w:val="00E756B3"/>
    <w:rsid w:val="00E756BD"/>
    <w:rsid w:val="00E756D5"/>
    <w:rsid w:val="00E756FA"/>
    <w:rsid w:val="00E764C6"/>
    <w:rsid w:val="00E76667"/>
    <w:rsid w:val="00E768F6"/>
    <w:rsid w:val="00E7699B"/>
    <w:rsid w:val="00E769C1"/>
    <w:rsid w:val="00E76F92"/>
    <w:rsid w:val="00E81044"/>
    <w:rsid w:val="00E818A4"/>
    <w:rsid w:val="00E81B2B"/>
    <w:rsid w:val="00E829C4"/>
    <w:rsid w:val="00E82B75"/>
    <w:rsid w:val="00E8369A"/>
    <w:rsid w:val="00E842B5"/>
    <w:rsid w:val="00E84355"/>
    <w:rsid w:val="00E84526"/>
    <w:rsid w:val="00E84CD6"/>
    <w:rsid w:val="00E84FDF"/>
    <w:rsid w:val="00E853C7"/>
    <w:rsid w:val="00E8601F"/>
    <w:rsid w:val="00E86208"/>
    <w:rsid w:val="00E90056"/>
    <w:rsid w:val="00E902D6"/>
    <w:rsid w:val="00E90D0A"/>
    <w:rsid w:val="00E9154B"/>
    <w:rsid w:val="00E91E72"/>
    <w:rsid w:val="00E92207"/>
    <w:rsid w:val="00E928E4"/>
    <w:rsid w:val="00E92C1B"/>
    <w:rsid w:val="00E93F92"/>
    <w:rsid w:val="00E93FCE"/>
    <w:rsid w:val="00E941FC"/>
    <w:rsid w:val="00E94975"/>
    <w:rsid w:val="00E94E82"/>
    <w:rsid w:val="00E96F45"/>
    <w:rsid w:val="00E9731B"/>
    <w:rsid w:val="00E9750E"/>
    <w:rsid w:val="00E97BDC"/>
    <w:rsid w:val="00E97EAB"/>
    <w:rsid w:val="00EA0807"/>
    <w:rsid w:val="00EA0F56"/>
    <w:rsid w:val="00EA0F5B"/>
    <w:rsid w:val="00EA1319"/>
    <w:rsid w:val="00EA1357"/>
    <w:rsid w:val="00EA2165"/>
    <w:rsid w:val="00EA274A"/>
    <w:rsid w:val="00EA2F11"/>
    <w:rsid w:val="00EA302D"/>
    <w:rsid w:val="00EA331D"/>
    <w:rsid w:val="00EA36C7"/>
    <w:rsid w:val="00EA3775"/>
    <w:rsid w:val="00EA3AC7"/>
    <w:rsid w:val="00EA3E06"/>
    <w:rsid w:val="00EA4BA1"/>
    <w:rsid w:val="00EA58E5"/>
    <w:rsid w:val="00EA5A25"/>
    <w:rsid w:val="00EA603F"/>
    <w:rsid w:val="00EA6649"/>
    <w:rsid w:val="00EA74EF"/>
    <w:rsid w:val="00EA7BC6"/>
    <w:rsid w:val="00EB03F0"/>
    <w:rsid w:val="00EB050D"/>
    <w:rsid w:val="00EB10E2"/>
    <w:rsid w:val="00EB18F4"/>
    <w:rsid w:val="00EB278C"/>
    <w:rsid w:val="00EB2A7C"/>
    <w:rsid w:val="00EB2BF5"/>
    <w:rsid w:val="00EB2F9C"/>
    <w:rsid w:val="00EB3566"/>
    <w:rsid w:val="00EB39D2"/>
    <w:rsid w:val="00EB39F3"/>
    <w:rsid w:val="00EB3B65"/>
    <w:rsid w:val="00EB3B79"/>
    <w:rsid w:val="00EB3BCC"/>
    <w:rsid w:val="00EB4860"/>
    <w:rsid w:val="00EB49AA"/>
    <w:rsid w:val="00EB5115"/>
    <w:rsid w:val="00EB51A6"/>
    <w:rsid w:val="00EB5210"/>
    <w:rsid w:val="00EB560F"/>
    <w:rsid w:val="00EB576E"/>
    <w:rsid w:val="00EB57A4"/>
    <w:rsid w:val="00EB5907"/>
    <w:rsid w:val="00EB5CA9"/>
    <w:rsid w:val="00EB64CC"/>
    <w:rsid w:val="00EB683B"/>
    <w:rsid w:val="00EC1287"/>
    <w:rsid w:val="00EC1A7C"/>
    <w:rsid w:val="00EC1AF2"/>
    <w:rsid w:val="00EC2695"/>
    <w:rsid w:val="00EC2825"/>
    <w:rsid w:val="00EC2910"/>
    <w:rsid w:val="00EC3836"/>
    <w:rsid w:val="00EC3885"/>
    <w:rsid w:val="00EC3C4E"/>
    <w:rsid w:val="00EC4B04"/>
    <w:rsid w:val="00EC51C0"/>
    <w:rsid w:val="00EC54B2"/>
    <w:rsid w:val="00EC5C65"/>
    <w:rsid w:val="00EC615D"/>
    <w:rsid w:val="00EC6214"/>
    <w:rsid w:val="00EC62C7"/>
    <w:rsid w:val="00EC6BAA"/>
    <w:rsid w:val="00EC7088"/>
    <w:rsid w:val="00EC7BCE"/>
    <w:rsid w:val="00ED0177"/>
    <w:rsid w:val="00ED0A02"/>
    <w:rsid w:val="00ED0B9B"/>
    <w:rsid w:val="00ED0CBA"/>
    <w:rsid w:val="00ED1329"/>
    <w:rsid w:val="00ED1334"/>
    <w:rsid w:val="00ED381C"/>
    <w:rsid w:val="00ED3E12"/>
    <w:rsid w:val="00ED4048"/>
    <w:rsid w:val="00ED47E3"/>
    <w:rsid w:val="00ED4B86"/>
    <w:rsid w:val="00ED53E4"/>
    <w:rsid w:val="00ED544D"/>
    <w:rsid w:val="00ED55DB"/>
    <w:rsid w:val="00ED5D07"/>
    <w:rsid w:val="00ED5EAD"/>
    <w:rsid w:val="00ED60B8"/>
    <w:rsid w:val="00ED6428"/>
    <w:rsid w:val="00ED64A6"/>
    <w:rsid w:val="00ED6738"/>
    <w:rsid w:val="00ED7632"/>
    <w:rsid w:val="00ED7B03"/>
    <w:rsid w:val="00ED7C15"/>
    <w:rsid w:val="00EE0CBB"/>
    <w:rsid w:val="00EE19C3"/>
    <w:rsid w:val="00EE242B"/>
    <w:rsid w:val="00EE27EC"/>
    <w:rsid w:val="00EE2A97"/>
    <w:rsid w:val="00EE384C"/>
    <w:rsid w:val="00EE3CDA"/>
    <w:rsid w:val="00EE3EFD"/>
    <w:rsid w:val="00EE40D5"/>
    <w:rsid w:val="00EE4377"/>
    <w:rsid w:val="00EE49FC"/>
    <w:rsid w:val="00EE50C2"/>
    <w:rsid w:val="00EE5460"/>
    <w:rsid w:val="00EE5629"/>
    <w:rsid w:val="00EE6478"/>
    <w:rsid w:val="00EE6A9B"/>
    <w:rsid w:val="00EE6C6D"/>
    <w:rsid w:val="00EE796B"/>
    <w:rsid w:val="00EF01FD"/>
    <w:rsid w:val="00EF108C"/>
    <w:rsid w:val="00EF19AB"/>
    <w:rsid w:val="00EF2171"/>
    <w:rsid w:val="00EF24F7"/>
    <w:rsid w:val="00EF2D17"/>
    <w:rsid w:val="00EF2DA8"/>
    <w:rsid w:val="00EF3325"/>
    <w:rsid w:val="00EF3459"/>
    <w:rsid w:val="00EF3699"/>
    <w:rsid w:val="00EF3DC0"/>
    <w:rsid w:val="00EF4356"/>
    <w:rsid w:val="00EF43B6"/>
    <w:rsid w:val="00EF4537"/>
    <w:rsid w:val="00EF465B"/>
    <w:rsid w:val="00EF485C"/>
    <w:rsid w:val="00EF56FE"/>
    <w:rsid w:val="00EF587A"/>
    <w:rsid w:val="00EF60A7"/>
    <w:rsid w:val="00EF60E3"/>
    <w:rsid w:val="00EF6509"/>
    <w:rsid w:val="00EF67FD"/>
    <w:rsid w:val="00EF6861"/>
    <w:rsid w:val="00EF6EEB"/>
    <w:rsid w:val="00EF7673"/>
    <w:rsid w:val="00EF7D23"/>
    <w:rsid w:val="00F002F0"/>
    <w:rsid w:val="00F004C6"/>
    <w:rsid w:val="00F00787"/>
    <w:rsid w:val="00F01377"/>
    <w:rsid w:val="00F01B1D"/>
    <w:rsid w:val="00F0208F"/>
    <w:rsid w:val="00F02D9F"/>
    <w:rsid w:val="00F0368C"/>
    <w:rsid w:val="00F03A34"/>
    <w:rsid w:val="00F0407D"/>
    <w:rsid w:val="00F0421F"/>
    <w:rsid w:val="00F04DC0"/>
    <w:rsid w:val="00F055CA"/>
    <w:rsid w:val="00F05709"/>
    <w:rsid w:val="00F06053"/>
    <w:rsid w:val="00F071A7"/>
    <w:rsid w:val="00F07988"/>
    <w:rsid w:val="00F07F5E"/>
    <w:rsid w:val="00F10D28"/>
    <w:rsid w:val="00F1144B"/>
    <w:rsid w:val="00F1155E"/>
    <w:rsid w:val="00F1170E"/>
    <w:rsid w:val="00F1174A"/>
    <w:rsid w:val="00F119E7"/>
    <w:rsid w:val="00F12258"/>
    <w:rsid w:val="00F12533"/>
    <w:rsid w:val="00F12706"/>
    <w:rsid w:val="00F1342C"/>
    <w:rsid w:val="00F13456"/>
    <w:rsid w:val="00F13659"/>
    <w:rsid w:val="00F147EE"/>
    <w:rsid w:val="00F149D9"/>
    <w:rsid w:val="00F15348"/>
    <w:rsid w:val="00F15D5E"/>
    <w:rsid w:val="00F15DC6"/>
    <w:rsid w:val="00F16344"/>
    <w:rsid w:val="00F163DD"/>
    <w:rsid w:val="00F164C8"/>
    <w:rsid w:val="00F169F0"/>
    <w:rsid w:val="00F16F8D"/>
    <w:rsid w:val="00F16F99"/>
    <w:rsid w:val="00F17150"/>
    <w:rsid w:val="00F20031"/>
    <w:rsid w:val="00F21CAB"/>
    <w:rsid w:val="00F22337"/>
    <w:rsid w:val="00F2246F"/>
    <w:rsid w:val="00F22941"/>
    <w:rsid w:val="00F23A3C"/>
    <w:rsid w:val="00F23D12"/>
    <w:rsid w:val="00F24FD6"/>
    <w:rsid w:val="00F2550C"/>
    <w:rsid w:val="00F257CF"/>
    <w:rsid w:val="00F25B79"/>
    <w:rsid w:val="00F26BE7"/>
    <w:rsid w:val="00F27060"/>
    <w:rsid w:val="00F27290"/>
    <w:rsid w:val="00F274E0"/>
    <w:rsid w:val="00F275BD"/>
    <w:rsid w:val="00F27B93"/>
    <w:rsid w:val="00F27D7B"/>
    <w:rsid w:val="00F304C1"/>
    <w:rsid w:val="00F32E64"/>
    <w:rsid w:val="00F335D0"/>
    <w:rsid w:val="00F33A56"/>
    <w:rsid w:val="00F341D6"/>
    <w:rsid w:val="00F342DB"/>
    <w:rsid w:val="00F3459A"/>
    <w:rsid w:val="00F345E6"/>
    <w:rsid w:val="00F346B6"/>
    <w:rsid w:val="00F34CBD"/>
    <w:rsid w:val="00F36015"/>
    <w:rsid w:val="00F36317"/>
    <w:rsid w:val="00F3639A"/>
    <w:rsid w:val="00F36682"/>
    <w:rsid w:val="00F3695E"/>
    <w:rsid w:val="00F36E53"/>
    <w:rsid w:val="00F37193"/>
    <w:rsid w:val="00F37515"/>
    <w:rsid w:val="00F37C35"/>
    <w:rsid w:val="00F40474"/>
    <w:rsid w:val="00F404E2"/>
    <w:rsid w:val="00F407E2"/>
    <w:rsid w:val="00F40A8E"/>
    <w:rsid w:val="00F40B47"/>
    <w:rsid w:val="00F40E05"/>
    <w:rsid w:val="00F40E24"/>
    <w:rsid w:val="00F4125A"/>
    <w:rsid w:val="00F42043"/>
    <w:rsid w:val="00F42433"/>
    <w:rsid w:val="00F4276F"/>
    <w:rsid w:val="00F430AD"/>
    <w:rsid w:val="00F43354"/>
    <w:rsid w:val="00F43727"/>
    <w:rsid w:val="00F43753"/>
    <w:rsid w:val="00F43CAF"/>
    <w:rsid w:val="00F43E46"/>
    <w:rsid w:val="00F44110"/>
    <w:rsid w:val="00F44AAA"/>
    <w:rsid w:val="00F44BDC"/>
    <w:rsid w:val="00F44D50"/>
    <w:rsid w:val="00F44DF4"/>
    <w:rsid w:val="00F4526B"/>
    <w:rsid w:val="00F45389"/>
    <w:rsid w:val="00F468C7"/>
    <w:rsid w:val="00F4756C"/>
    <w:rsid w:val="00F475C0"/>
    <w:rsid w:val="00F50B7D"/>
    <w:rsid w:val="00F50E1A"/>
    <w:rsid w:val="00F5154E"/>
    <w:rsid w:val="00F51865"/>
    <w:rsid w:val="00F51B4D"/>
    <w:rsid w:val="00F51F91"/>
    <w:rsid w:val="00F52313"/>
    <w:rsid w:val="00F527F7"/>
    <w:rsid w:val="00F535E4"/>
    <w:rsid w:val="00F5361B"/>
    <w:rsid w:val="00F53788"/>
    <w:rsid w:val="00F53AF4"/>
    <w:rsid w:val="00F53B0A"/>
    <w:rsid w:val="00F53B2B"/>
    <w:rsid w:val="00F540BE"/>
    <w:rsid w:val="00F543FC"/>
    <w:rsid w:val="00F54514"/>
    <w:rsid w:val="00F54F2A"/>
    <w:rsid w:val="00F5526B"/>
    <w:rsid w:val="00F553EE"/>
    <w:rsid w:val="00F556A6"/>
    <w:rsid w:val="00F55E90"/>
    <w:rsid w:val="00F56002"/>
    <w:rsid w:val="00F5630D"/>
    <w:rsid w:val="00F56DC0"/>
    <w:rsid w:val="00F57238"/>
    <w:rsid w:val="00F5776E"/>
    <w:rsid w:val="00F57D55"/>
    <w:rsid w:val="00F60093"/>
    <w:rsid w:val="00F601F4"/>
    <w:rsid w:val="00F60F50"/>
    <w:rsid w:val="00F60F71"/>
    <w:rsid w:val="00F617F1"/>
    <w:rsid w:val="00F62028"/>
    <w:rsid w:val="00F620E4"/>
    <w:rsid w:val="00F62AC8"/>
    <w:rsid w:val="00F62DE2"/>
    <w:rsid w:val="00F63163"/>
    <w:rsid w:val="00F636E2"/>
    <w:rsid w:val="00F63BA6"/>
    <w:rsid w:val="00F63DAF"/>
    <w:rsid w:val="00F6413E"/>
    <w:rsid w:val="00F641FC"/>
    <w:rsid w:val="00F64387"/>
    <w:rsid w:val="00F64430"/>
    <w:rsid w:val="00F644EB"/>
    <w:rsid w:val="00F64B9F"/>
    <w:rsid w:val="00F653CC"/>
    <w:rsid w:val="00F65E1C"/>
    <w:rsid w:val="00F668BD"/>
    <w:rsid w:val="00F66919"/>
    <w:rsid w:val="00F67002"/>
    <w:rsid w:val="00F6701A"/>
    <w:rsid w:val="00F6743C"/>
    <w:rsid w:val="00F67DD4"/>
    <w:rsid w:val="00F7029C"/>
    <w:rsid w:val="00F70702"/>
    <w:rsid w:val="00F709B7"/>
    <w:rsid w:val="00F709CD"/>
    <w:rsid w:val="00F71760"/>
    <w:rsid w:val="00F71CCB"/>
    <w:rsid w:val="00F7271F"/>
    <w:rsid w:val="00F7289E"/>
    <w:rsid w:val="00F72A34"/>
    <w:rsid w:val="00F7320B"/>
    <w:rsid w:val="00F74434"/>
    <w:rsid w:val="00F74746"/>
    <w:rsid w:val="00F74AB7"/>
    <w:rsid w:val="00F75497"/>
    <w:rsid w:val="00F7551C"/>
    <w:rsid w:val="00F7583D"/>
    <w:rsid w:val="00F75CD7"/>
    <w:rsid w:val="00F75D81"/>
    <w:rsid w:val="00F76143"/>
    <w:rsid w:val="00F76A84"/>
    <w:rsid w:val="00F77160"/>
    <w:rsid w:val="00F77901"/>
    <w:rsid w:val="00F80381"/>
    <w:rsid w:val="00F804C9"/>
    <w:rsid w:val="00F80BF0"/>
    <w:rsid w:val="00F80ED1"/>
    <w:rsid w:val="00F8142C"/>
    <w:rsid w:val="00F81CE4"/>
    <w:rsid w:val="00F81FE5"/>
    <w:rsid w:val="00F820CE"/>
    <w:rsid w:val="00F823BA"/>
    <w:rsid w:val="00F824B4"/>
    <w:rsid w:val="00F824B8"/>
    <w:rsid w:val="00F824E2"/>
    <w:rsid w:val="00F82941"/>
    <w:rsid w:val="00F84120"/>
    <w:rsid w:val="00F8464C"/>
    <w:rsid w:val="00F84935"/>
    <w:rsid w:val="00F8551A"/>
    <w:rsid w:val="00F86448"/>
    <w:rsid w:val="00F86861"/>
    <w:rsid w:val="00F86DD9"/>
    <w:rsid w:val="00F870A8"/>
    <w:rsid w:val="00F871E9"/>
    <w:rsid w:val="00F87247"/>
    <w:rsid w:val="00F90CF9"/>
    <w:rsid w:val="00F914B5"/>
    <w:rsid w:val="00F9154A"/>
    <w:rsid w:val="00F9172C"/>
    <w:rsid w:val="00F929D5"/>
    <w:rsid w:val="00F92C8C"/>
    <w:rsid w:val="00F92D3B"/>
    <w:rsid w:val="00F938CA"/>
    <w:rsid w:val="00F9433A"/>
    <w:rsid w:val="00F9437D"/>
    <w:rsid w:val="00F9528F"/>
    <w:rsid w:val="00F953B6"/>
    <w:rsid w:val="00F95970"/>
    <w:rsid w:val="00F961E7"/>
    <w:rsid w:val="00F9680B"/>
    <w:rsid w:val="00F9687D"/>
    <w:rsid w:val="00F96958"/>
    <w:rsid w:val="00F96CD3"/>
    <w:rsid w:val="00F9793F"/>
    <w:rsid w:val="00F97AC0"/>
    <w:rsid w:val="00FA1554"/>
    <w:rsid w:val="00FA1607"/>
    <w:rsid w:val="00FA24B0"/>
    <w:rsid w:val="00FA24F8"/>
    <w:rsid w:val="00FA2BBB"/>
    <w:rsid w:val="00FA3052"/>
    <w:rsid w:val="00FA3357"/>
    <w:rsid w:val="00FA337E"/>
    <w:rsid w:val="00FA347A"/>
    <w:rsid w:val="00FA3695"/>
    <w:rsid w:val="00FA3DB7"/>
    <w:rsid w:val="00FA3F54"/>
    <w:rsid w:val="00FA47AD"/>
    <w:rsid w:val="00FA48EE"/>
    <w:rsid w:val="00FA4D01"/>
    <w:rsid w:val="00FA5499"/>
    <w:rsid w:val="00FA5531"/>
    <w:rsid w:val="00FA5830"/>
    <w:rsid w:val="00FA5899"/>
    <w:rsid w:val="00FA63F8"/>
    <w:rsid w:val="00FA64D3"/>
    <w:rsid w:val="00FA6934"/>
    <w:rsid w:val="00FA6B2E"/>
    <w:rsid w:val="00FA704E"/>
    <w:rsid w:val="00FA73E0"/>
    <w:rsid w:val="00FB0220"/>
    <w:rsid w:val="00FB03C0"/>
    <w:rsid w:val="00FB05A6"/>
    <w:rsid w:val="00FB13B9"/>
    <w:rsid w:val="00FB1707"/>
    <w:rsid w:val="00FB1852"/>
    <w:rsid w:val="00FB34AF"/>
    <w:rsid w:val="00FB3542"/>
    <w:rsid w:val="00FB3742"/>
    <w:rsid w:val="00FB3924"/>
    <w:rsid w:val="00FB3AC1"/>
    <w:rsid w:val="00FB3EDA"/>
    <w:rsid w:val="00FB49AE"/>
    <w:rsid w:val="00FB4E0E"/>
    <w:rsid w:val="00FB52E8"/>
    <w:rsid w:val="00FB5B60"/>
    <w:rsid w:val="00FB5F86"/>
    <w:rsid w:val="00FB6796"/>
    <w:rsid w:val="00FB6F87"/>
    <w:rsid w:val="00FB724B"/>
    <w:rsid w:val="00FB7EC0"/>
    <w:rsid w:val="00FC01EE"/>
    <w:rsid w:val="00FC12D4"/>
    <w:rsid w:val="00FC1443"/>
    <w:rsid w:val="00FC1A95"/>
    <w:rsid w:val="00FC238C"/>
    <w:rsid w:val="00FC2CAB"/>
    <w:rsid w:val="00FC2E5D"/>
    <w:rsid w:val="00FC30DE"/>
    <w:rsid w:val="00FC3404"/>
    <w:rsid w:val="00FC3A86"/>
    <w:rsid w:val="00FC3DBA"/>
    <w:rsid w:val="00FC4CD3"/>
    <w:rsid w:val="00FC4E4A"/>
    <w:rsid w:val="00FC5B6F"/>
    <w:rsid w:val="00FC6888"/>
    <w:rsid w:val="00FC6EFA"/>
    <w:rsid w:val="00FC713C"/>
    <w:rsid w:val="00FC725A"/>
    <w:rsid w:val="00FC759D"/>
    <w:rsid w:val="00FC7793"/>
    <w:rsid w:val="00FC7B5C"/>
    <w:rsid w:val="00FC7E67"/>
    <w:rsid w:val="00FC7EB7"/>
    <w:rsid w:val="00FD0657"/>
    <w:rsid w:val="00FD0869"/>
    <w:rsid w:val="00FD1987"/>
    <w:rsid w:val="00FD285D"/>
    <w:rsid w:val="00FD3259"/>
    <w:rsid w:val="00FD380E"/>
    <w:rsid w:val="00FD434F"/>
    <w:rsid w:val="00FD467C"/>
    <w:rsid w:val="00FD46C6"/>
    <w:rsid w:val="00FD48F0"/>
    <w:rsid w:val="00FD4C21"/>
    <w:rsid w:val="00FD504B"/>
    <w:rsid w:val="00FD639E"/>
    <w:rsid w:val="00FD63EF"/>
    <w:rsid w:val="00FD6431"/>
    <w:rsid w:val="00FD679B"/>
    <w:rsid w:val="00FD710D"/>
    <w:rsid w:val="00FD78C7"/>
    <w:rsid w:val="00FE0044"/>
    <w:rsid w:val="00FE011B"/>
    <w:rsid w:val="00FE0E04"/>
    <w:rsid w:val="00FE1BB1"/>
    <w:rsid w:val="00FE1C08"/>
    <w:rsid w:val="00FE20EF"/>
    <w:rsid w:val="00FE2182"/>
    <w:rsid w:val="00FE2555"/>
    <w:rsid w:val="00FE2652"/>
    <w:rsid w:val="00FE2C65"/>
    <w:rsid w:val="00FE3B78"/>
    <w:rsid w:val="00FE3C20"/>
    <w:rsid w:val="00FE4855"/>
    <w:rsid w:val="00FE4FD0"/>
    <w:rsid w:val="00FE5028"/>
    <w:rsid w:val="00FE54A1"/>
    <w:rsid w:val="00FE5AB6"/>
    <w:rsid w:val="00FE5DD3"/>
    <w:rsid w:val="00FE6130"/>
    <w:rsid w:val="00FE6CA1"/>
    <w:rsid w:val="00FE6DF3"/>
    <w:rsid w:val="00FE7307"/>
    <w:rsid w:val="00FE7489"/>
    <w:rsid w:val="00FE7BE2"/>
    <w:rsid w:val="00FE7CCE"/>
    <w:rsid w:val="00FF01CE"/>
    <w:rsid w:val="00FF0262"/>
    <w:rsid w:val="00FF03A7"/>
    <w:rsid w:val="00FF1166"/>
    <w:rsid w:val="00FF18BD"/>
    <w:rsid w:val="00FF1CA0"/>
    <w:rsid w:val="00FF1CF8"/>
    <w:rsid w:val="00FF3498"/>
    <w:rsid w:val="00FF3B64"/>
    <w:rsid w:val="00FF3C19"/>
    <w:rsid w:val="00FF40C9"/>
    <w:rsid w:val="00FF47D7"/>
    <w:rsid w:val="00FF4857"/>
    <w:rsid w:val="00FF5348"/>
    <w:rsid w:val="00FF5458"/>
    <w:rsid w:val="00FF5825"/>
    <w:rsid w:val="00FF5964"/>
    <w:rsid w:val="00FF67F3"/>
    <w:rsid w:val="00FF6D4C"/>
    <w:rsid w:val="00FF74A7"/>
    <w:rsid w:val="0160DE5F"/>
    <w:rsid w:val="01C1D3C9"/>
    <w:rsid w:val="0286DD5B"/>
    <w:rsid w:val="02D5E0A9"/>
    <w:rsid w:val="0303CDDF"/>
    <w:rsid w:val="03A263F7"/>
    <w:rsid w:val="04089570"/>
    <w:rsid w:val="04179D75"/>
    <w:rsid w:val="04949F39"/>
    <w:rsid w:val="04F5E36A"/>
    <w:rsid w:val="051D2B4F"/>
    <w:rsid w:val="051F98FB"/>
    <w:rsid w:val="0677A15D"/>
    <w:rsid w:val="069492F8"/>
    <w:rsid w:val="074C78B5"/>
    <w:rsid w:val="077DE1BA"/>
    <w:rsid w:val="08732F39"/>
    <w:rsid w:val="08F73DFA"/>
    <w:rsid w:val="08FFD68D"/>
    <w:rsid w:val="09133703"/>
    <w:rsid w:val="09361DA0"/>
    <w:rsid w:val="098408AF"/>
    <w:rsid w:val="099FCC12"/>
    <w:rsid w:val="09F4A840"/>
    <w:rsid w:val="0C80CA39"/>
    <w:rsid w:val="0CA98FEB"/>
    <w:rsid w:val="0D00F54F"/>
    <w:rsid w:val="0DB0F043"/>
    <w:rsid w:val="0DB10FFE"/>
    <w:rsid w:val="0F666CF1"/>
    <w:rsid w:val="0FD70C82"/>
    <w:rsid w:val="10D137AC"/>
    <w:rsid w:val="10D17A34"/>
    <w:rsid w:val="114C4238"/>
    <w:rsid w:val="115C5AB8"/>
    <w:rsid w:val="117D6B5E"/>
    <w:rsid w:val="11D6CB60"/>
    <w:rsid w:val="13531362"/>
    <w:rsid w:val="13A880C9"/>
    <w:rsid w:val="14C44AC0"/>
    <w:rsid w:val="15BC0228"/>
    <w:rsid w:val="15C0A122"/>
    <w:rsid w:val="15C262B8"/>
    <w:rsid w:val="165C67EC"/>
    <w:rsid w:val="1695B2AD"/>
    <w:rsid w:val="16AC6B90"/>
    <w:rsid w:val="16EB9F94"/>
    <w:rsid w:val="175CE8FB"/>
    <w:rsid w:val="17A696BA"/>
    <w:rsid w:val="17CAC319"/>
    <w:rsid w:val="1A5B2F90"/>
    <w:rsid w:val="1B0263DB"/>
    <w:rsid w:val="1BA85EDB"/>
    <w:rsid w:val="1BF6FFF1"/>
    <w:rsid w:val="1C3FD882"/>
    <w:rsid w:val="1CDCE111"/>
    <w:rsid w:val="1D3E3F61"/>
    <w:rsid w:val="1E3A049D"/>
    <w:rsid w:val="1E5E9478"/>
    <w:rsid w:val="1F777944"/>
    <w:rsid w:val="1FBC1206"/>
    <w:rsid w:val="212E0187"/>
    <w:rsid w:val="21466E40"/>
    <w:rsid w:val="21D86554"/>
    <w:rsid w:val="222C59FD"/>
    <w:rsid w:val="2257E4C2"/>
    <w:rsid w:val="228BF703"/>
    <w:rsid w:val="2351E50C"/>
    <w:rsid w:val="2356A061"/>
    <w:rsid w:val="23C82A5E"/>
    <w:rsid w:val="23FB1195"/>
    <w:rsid w:val="2446E2C5"/>
    <w:rsid w:val="24F6DDB9"/>
    <w:rsid w:val="250CC713"/>
    <w:rsid w:val="252BF484"/>
    <w:rsid w:val="262732AB"/>
    <w:rsid w:val="27ABE6AB"/>
    <w:rsid w:val="28B9BC0C"/>
    <w:rsid w:val="28BAF3D8"/>
    <w:rsid w:val="291A53E8"/>
    <w:rsid w:val="29742D15"/>
    <w:rsid w:val="29CA4EDC"/>
    <w:rsid w:val="2AEEC798"/>
    <w:rsid w:val="2B214E4E"/>
    <w:rsid w:val="2B301B34"/>
    <w:rsid w:val="2B65C7E3"/>
    <w:rsid w:val="2B7F479A"/>
    <w:rsid w:val="2B8850B3"/>
    <w:rsid w:val="2BF6A7CE"/>
    <w:rsid w:val="2C73F49E"/>
    <w:rsid w:val="2D516288"/>
    <w:rsid w:val="2D5DC4BB"/>
    <w:rsid w:val="2D6F9B63"/>
    <w:rsid w:val="2F790BDE"/>
    <w:rsid w:val="2F885AA6"/>
    <w:rsid w:val="2FD364DF"/>
    <w:rsid w:val="303D599E"/>
    <w:rsid w:val="31C48A63"/>
    <w:rsid w:val="31D560C1"/>
    <w:rsid w:val="330F9ADF"/>
    <w:rsid w:val="3334487C"/>
    <w:rsid w:val="3434FAB0"/>
    <w:rsid w:val="34C85415"/>
    <w:rsid w:val="3577FE25"/>
    <w:rsid w:val="35E79C19"/>
    <w:rsid w:val="3613497A"/>
    <w:rsid w:val="365E9EE3"/>
    <w:rsid w:val="36604435"/>
    <w:rsid w:val="368E5AA0"/>
    <w:rsid w:val="378B751A"/>
    <w:rsid w:val="37F08980"/>
    <w:rsid w:val="3866A239"/>
    <w:rsid w:val="3930C659"/>
    <w:rsid w:val="396304DA"/>
    <w:rsid w:val="39DCA92B"/>
    <w:rsid w:val="3A073BC8"/>
    <w:rsid w:val="3A599D0A"/>
    <w:rsid w:val="3D1A2680"/>
    <w:rsid w:val="3D3A135C"/>
    <w:rsid w:val="3E182207"/>
    <w:rsid w:val="3E42CA45"/>
    <w:rsid w:val="3EC962B0"/>
    <w:rsid w:val="3ED5E3BD"/>
    <w:rsid w:val="3F0BE68F"/>
    <w:rsid w:val="3F35B098"/>
    <w:rsid w:val="3FBD0539"/>
    <w:rsid w:val="3FEC0E6D"/>
    <w:rsid w:val="4095E1DB"/>
    <w:rsid w:val="40D74428"/>
    <w:rsid w:val="415D898B"/>
    <w:rsid w:val="42456E7C"/>
    <w:rsid w:val="430CFD3B"/>
    <w:rsid w:val="44788D19"/>
    <w:rsid w:val="45B1EEB3"/>
    <w:rsid w:val="45E889A9"/>
    <w:rsid w:val="4605AD69"/>
    <w:rsid w:val="464B8FF0"/>
    <w:rsid w:val="46FEF77B"/>
    <w:rsid w:val="4720D35D"/>
    <w:rsid w:val="4847A0C3"/>
    <w:rsid w:val="48495318"/>
    <w:rsid w:val="48667CD3"/>
    <w:rsid w:val="4881DFC0"/>
    <w:rsid w:val="48BD3850"/>
    <w:rsid w:val="497973EA"/>
    <w:rsid w:val="4993B89B"/>
    <w:rsid w:val="49CA2740"/>
    <w:rsid w:val="4A337E8B"/>
    <w:rsid w:val="4A793D87"/>
    <w:rsid w:val="4AB94B9B"/>
    <w:rsid w:val="4AEB4374"/>
    <w:rsid w:val="4B425C29"/>
    <w:rsid w:val="4B8ED53B"/>
    <w:rsid w:val="4C289DB5"/>
    <w:rsid w:val="4C795487"/>
    <w:rsid w:val="4CA2029A"/>
    <w:rsid w:val="4DFEEFEF"/>
    <w:rsid w:val="4E10BF4E"/>
    <w:rsid w:val="4E83703C"/>
    <w:rsid w:val="4F7DD045"/>
    <w:rsid w:val="504D9FE0"/>
    <w:rsid w:val="509295D7"/>
    <w:rsid w:val="50FC1313"/>
    <w:rsid w:val="51D63C31"/>
    <w:rsid w:val="51F1A891"/>
    <w:rsid w:val="52490D69"/>
    <w:rsid w:val="52D360B0"/>
    <w:rsid w:val="52DC42EB"/>
    <w:rsid w:val="53BD5B9F"/>
    <w:rsid w:val="54D3CA71"/>
    <w:rsid w:val="54DBAB82"/>
    <w:rsid w:val="55C97FEC"/>
    <w:rsid w:val="55D060BB"/>
    <w:rsid w:val="56620589"/>
    <w:rsid w:val="56E383B4"/>
    <w:rsid w:val="5741EF15"/>
    <w:rsid w:val="58AAD563"/>
    <w:rsid w:val="591AA237"/>
    <w:rsid w:val="59620CD8"/>
    <w:rsid w:val="597E7C45"/>
    <w:rsid w:val="5A544CC8"/>
    <w:rsid w:val="5B1FB764"/>
    <w:rsid w:val="5B5C6124"/>
    <w:rsid w:val="5B9D9C77"/>
    <w:rsid w:val="5BEDE50F"/>
    <w:rsid w:val="5C2C7EE0"/>
    <w:rsid w:val="5C627494"/>
    <w:rsid w:val="5C8B12B7"/>
    <w:rsid w:val="5D985F7A"/>
    <w:rsid w:val="5DA49DE1"/>
    <w:rsid w:val="5E3AFDA9"/>
    <w:rsid w:val="5EFAA0B3"/>
    <w:rsid w:val="5F3C85E0"/>
    <w:rsid w:val="602FA84E"/>
    <w:rsid w:val="607AE95F"/>
    <w:rsid w:val="60FE07A9"/>
    <w:rsid w:val="616379E7"/>
    <w:rsid w:val="617C1CEC"/>
    <w:rsid w:val="61AC17D5"/>
    <w:rsid w:val="61D7EA6A"/>
    <w:rsid w:val="61E9D4F1"/>
    <w:rsid w:val="62BC40E7"/>
    <w:rsid w:val="62FA543B"/>
    <w:rsid w:val="63567D7C"/>
    <w:rsid w:val="63652CFE"/>
    <w:rsid w:val="6435BCFA"/>
    <w:rsid w:val="64420BD7"/>
    <w:rsid w:val="64512972"/>
    <w:rsid w:val="646F9DE7"/>
    <w:rsid w:val="64A7F5E8"/>
    <w:rsid w:val="64AE0201"/>
    <w:rsid w:val="64B928BD"/>
    <w:rsid w:val="64D5A5D6"/>
    <w:rsid w:val="66536C53"/>
    <w:rsid w:val="66A51F4B"/>
    <w:rsid w:val="6706DE43"/>
    <w:rsid w:val="6726A201"/>
    <w:rsid w:val="673FCA5E"/>
    <w:rsid w:val="67438D6C"/>
    <w:rsid w:val="6779AC99"/>
    <w:rsid w:val="67DC501D"/>
    <w:rsid w:val="681ADCDA"/>
    <w:rsid w:val="684C92C4"/>
    <w:rsid w:val="68BCAF2F"/>
    <w:rsid w:val="69495A1B"/>
    <w:rsid w:val="6953A307"/>
    <w:rsid w:val="69591C1E"/>
    <w:rsid w:val="6A443055"/>
    <w:rsid w:val="6A4DF0BB"/>
    <w:rsid w:val="6A80B160"/>
    <w:rsid w:val="6A9B8CFF"/>
    <w:rsid w:val="6B37F348"/>
    <w:rsid w:val="6B4239E0"/>
    <w:rsid w:val="6B9B2FC7"/>
    <w:rsid w:val="6BB7C8F2"/>
    <w:rsid w:val="6BBB3EA5"/>
    <w:rsid w:val="6CBA621B"/>
    <w:rsid w:val="6CFCD516"/>
    <w:rsid w:val="6D62A8BA"/>
    <w:rsid w:val="6D65838D"/>
    <w:rsid w:val="6D9656B0"/>
    <w:rsid w:val="6DA9E0E3"/>
    <w:rsid w:val="6EACF3BE"/>
    <w:rsid w:val="6ED86D00"/>
    <w:rsid w:val="6F17A178"/>
    <w:rsid w:val="6FA3935B"/>
    <w:rsid w:val="70777612"/>
    <w:rsid w:val="72562427"/>
    <w:rsid w:val="725CDE1D"/>
    <w:rsid w:val="73217F3D"/>
    <w:rsid w:val="7323C28C"/>
    <w:rsid w:val="7368CD64"/>
    <w:rsid w:val="736B320F"/>
    <w:rsid w:val="73E4C732"/>
    <w:rsid w:val="7472196E"/>
    <w:rsid w:val="752643FF"/>
    <w:rsid w:val="759B10F2"/>
    <w:rsid w:val="76C0AF4D"/>
    <w:rsid w:val="77379ACC"/>
    <w:rsid w:val="7A1CE0D9"/>
    <w:rsid w:val="7A425253"/>
    <w:rsid w:val="7A77F1AC"/>
    <w:rsid w:val="7B1FD3E4"/>
    <w:rsid w:val="7C47BEEB"/>
    <w:rsid w:val="7CBE331C"/>
    <w:rsid w:val="7CE7AF76"/>
    <w:rsid w:val="7D37CEAC"/>
    <w:rsid w:val="7DC09C25"/>
    <w:rsid w:val="7E658DD3"/>
    <w:rsid w:val="7F2DC5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54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1" w:unhideWhenUsed="1"/>
    <w:lsdException w:name="List Bullet" w:uiPriority="1" w:qFormat="1"/>
    <w:lsdException w:name="List Number" w:uiPriority="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99"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uiPriority="2" w:qFormat="1"/>
    <w:lsdException w:name="Salutation" w:semiHidden="1" w:unhideWhenUsed="1"/>
    <w:lsdException w:name="Date" w:semiHidden="1" w:uiPriority="99"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iPriority="99" w:unhideWhenUsed="1"/>
    <w:lsdException w:name="Body Text Indent 2" w:semiHidden="1" w:uiPriority="99" w:unhideWhenUsed="1" w:qFormat="1"/>
    <w:lsdException w:name="Body Text Indent 3" w:semiHidden="1" w:uiPriority="99"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4F5A"/>
    <w:rPr>
      <w:sz w:val="24"/>
    </w:rPr>
  </w:style>
  <w:style w:type="paragraph" w:styleId="Heading1">
    <w:name w:val="heading 1"/>
    <w:basedOn w:val="Normal"/>
    <w:next w:val="Normal"/>
    <w:link w:val="Heading1Char"/>
    <w:qFormat/>
    <w:rsid w:val="001C12F4"/>
    <w:pPr>
      <w:spacing w:line="480" w:lineRule="auto"/>
      <w:jc w:val="center"/>
      <w:outlineLvl w:val="0"/>
    </w:pPr>
    <w:rPr>
      <w:b/>
      <w:caps/>
    </w:rPr>
  </w:style>
  <w:style w:type="paragraph" w:styleId="Heading2">
    <w:name w:val="heading 2"/>
    <w:basedOn w:val="Normal"/>
    <w:next w:val="Normal"/>
    <w:link w:val="Heading2Char"/>
    <w:qFormat/>
    <w:rsid w:val="005242AA"/>
    <w:pPr>
      <w:keepNext/>
      <w:spacing w:line="480" w:lineRule="auto"/>
      <w:jc w:val="center"/>
      <w:outlineLvl w:val="1"/>
    </w:pPr>
    <w:rPr>
      <w:b/>
    </w:rPr>
  </w:style>
  <w:style w:type="paragraph" w:styleId="Heading3">
    <w:name w:val="heading 3"/>
    <w:basedOn w:val="Normal"/>
    <w:next w:val="Normal"/>
    <w:link w:val="Heading3Char"/>
    <w:qFormat/>
    <w:rsid w:val="005242AA"/>
    <w:pPr>
      <w:keepNext/>
      <w:spacing w:line="480" w:lineRule="auto"/>
      <w:jc w:val="center"/>
      <w:outlineLvl w:val="2"/>
    </w:pPr>
    <w:rPr>
      <w:b/>
      <w:u w:val="single"/>
    </w:rPr>
  </w:style>
  <w:style w:type="paragraph" w:styleId="Heading4">
    <w:name w:val="heading 4"/>
    <w:basedOn w:val="Normal"/>
    <w:next w:val="Normal"/>
    <w:link w:val="Heading4Char"/>
    <w:qFormat/>
    <w:rsid w:val="005242AA"/>
    <w:pPr>
      <w:keepNext/>
      <w:spacing w:line="480" w:lineRule="auto"/>
      <w:jc w:val="center"/>
      <w:outlineLvl w:val="3"/>
    </w:pPr>
    <w:rPr>
      <w:snapToGrid w:val="0"/>
      <w:color w:val="000000"/>
      <w:u w:val="single"/>
    </w:rPr>
  </w:style>
  <w:style w:type="paragraph" w:styleId="Heading5">
    <w:name w:val="heading 5"/>
    <w:basedOn w:val="Normal"/>
    <w:next w:val="Normal"/>
    <w:link w:val="Heading5Char"/>
    <w:uiPriority w:val="9"/>
    <w:qFormat/>
    <w:rsid w:val="005242AA"/>
    <w:pPr>
      <w:keepNext/>
      <w:spacing w:line="480" w:lineRule="auto"/>
      <w:outlineLvl w:val="4"/>
    </w:pPr>
    <w:rPr>
      <w:b/>
    </w:rPr>
  </w:style>
  <w:style w:type="paragraph" w:styleId="Heading6">
    <w:name w:val="heading 6"/>
    <w:basedOn w:val="Normal"/>
    <w:next w:val="Normal"/>
    <w:link w:val="Heading6Char"/>
    <w:uiPriority w:val="9"/>
    <w:qFormat/>
    <w:rsid w:val="005242AA"/>
    <w:pPr>
      <w:keepNext/>
      <w:numPr>
        <w:numId w:val="1"/>
      </w:numPr>
      <w:tabs>
        <w:tab w:val="clear" w:pos="540"/>
        <w:tab w:val="num" w:pos="720"/>
      </w:tabs>
      <w:spacing w:line="480" w:lineRule="auto"/>
      <w:ind w:left="720" w:hanging="720"/>
      <w:jc w:val="both"/>
      <w:outlineLvl w:val="5"/>
    </w:pPr>
    <w:rPr>
      <w:b/>
    </w:rPr>
  </w:style>
  <w:style w:type="paragraph" w:styleId="Heading7">
    <w:name w:val="heading 7"/>
    <w:basedOn w:val="Normal"/>
    <w:next w:val="Normal"/>
    <w:link w:val="Heading7Char"/>
    <w:uiPriority w:val="9"/>
    <w:semiHidden/>
    <w:unhideWhenUsed/>
    <w:qFormat/>
    <w:rsid w:val="009F0A90"/>
    <w:pPr>
      <w:keepNext/>
      <w:keepLines/>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Heading8">
    <w:name w:val="heading 8"/>
    <w:basedOn w:val="Normal"/>
    <w:next w:val="BodyText"/>
    <w:link w:val="Heading8Char"/>
    <w:uiPriority w:val="9"/>
    <w:semiHidden/>
    <w:unhideWhenUsed/>
    <w:qFormat/>
    <w:rsid w:val="009F0A90"/>
    <w:pPr>
      <w:keepNext/>
      <w:keepLines/>
      <w:widowControl w:val="0"/>
      <w:spacing w:after="240" w:line="276" w:lineRule="auto"/>
      <w:outlineLvl w:val="7"/>
    </w:pPr>
    <w:rPr>
      <w:rFonts w:asciiTheme="minorHAnsi" w:eastAsiaTheme="minorEastAsia" w:hAnsiTheme="minorHAnsi" w:cstheme="minorBidi"/>
      <w:iCs/>
      <w:sz w:val="22"/>
      <w:szCs w:val="22"/>
    </w:rPr>
  </w:style>
  <w:style w:type="paragraph" w:styleId="Heading9">
    <w:name w:val="heading 9"/>
    <w:basedOn w:val="Normal"/>
    <w:next w:val="BodyText"/>
    <w:link w:val="Heading9Char"/>
    <w:uiPriority w:val="9"/>
    <w:semiHidden/>
    <w:unhideWhenUsed/>
    <w:qFormat/>
    <w:rsid w:val="009F0A90"/>
    <w:pPr>
      <w:keepNext/>
      <w:keepLines/>
      <w:spacing w:after="240" w:line="276" w:lineRule="auto"/>
      <w:outlineLvl w:val="8"/>
    </w:pPr>
    <w:rPr>
      <w:rFonts w:asciiTheme="minorHAnsi" w:eastAsiaTheme="majorEastAsia" w:hAnsiTheme="minorHAnsi" w:cstheme="majorBidi"/>
      <w:i/>
      <w:spacing w:val="5"/>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qFormat/>
    <w:rsid w:val="005242AA"/>
    <w:pPr>
      <w:spacing w:line="360" w:lineRule="auto"/>
      <w:ind w:left="720"/>
    </w:pPr>
  </w:style>
  <w:style w:type="paragraph" w:styleId="BodyTextIndent2">
    <w:name w:val="Body Text Indent 2"/>
    <w:basedOn w:val="Normal"/>
    <w:link w:val="BodyTextIndent2Char"/>
    <w:uiPriority w:val="99"/>
    <w:qFormat/>
    <w:rsid w:val="005242AA"/>
    <w:pPr>
      <w:spacing w:line="360" w:lineRule="auto"/>
      <w:ind w:left="720" w:hanging="720"/>
    </w:pPr>
  </w:style>
  <w:style w:type="paragraph" w:styleId="BodyTextIndent3">
    <w:name w:val="Body Text Indent 3"/>
    <w:basedOn w:val="Normal"/>
    <w:link w:val="BodyTextIndent3Char"/>
    <w:uiPriority w:val="99"/>
    <w:rsid w:val="005242AA"/>
    <w:pPr>
      <w:spacing w:line="480" w:lineRule="auto"/>
      <w:ind w:left="630" w:hanging="630"/>
    </w:pPr>
  </w:style>
  <w:style w:type="paragraph" w:styleId="Footer">
    <w:name w:val="footer"/>
    <w:basedOn w:val="Normal"/>
    <w:link w:val="FooterChar"/>
    <w:uiPriority w:val="99"/>
    <w:rsid w:val="005242AA"/>
    <w:pPr>
      <w:tabs>
        <w:tab w:val="center" w:pos="4320"/>
        <w:tab w:val="right" w:pos="8640"/>
      </w:tabs>
    </w:pPr>
  </w:style>
  <w:style w:type="character" w:styleId="PageNumber">
    <w:name w:val="page number"/>
    <w:basedOn w:val="DefaultParagraphFont"/>
    <w:rsid w:val="005242AA"/>
  </w:style>
  <w:style w:type="character" w:styleId="LineNumber">
    <w:name w:val="line number"/>
    <w:basedOn w:val="DefaultParagraphFont"/>
    <w:rsid w:val="005242AA"/>
  </w:style>
  <w:style w:type="paragraph" w:styleId="Header">
    <w:name w:val="header"/>
    <w:basedOn w:val="Normal"/>
    <w:link w:val="HeaderChar"/>
    <w:uiPriority w:val="99"/>
    <w:rsid w:val="005242AA"/>
    <w:pPr>
      <w:tabs>
        <w:tab w:val="center" w:pos="4320"/>
        <w:tab w:val="right" w:pos="8640"/>
      </w:tabs>
    </w:pPr>
  </w:style>
  <w:style w:type="paragraph" w:styleId="Title">
    <w:name w:val="Title"/>
    <w:aliases w:val="Style 29"/>
    <w:basedOn w:val="Normal"/>
    <w:link w:val="TitleChar"/>
    <w:qFormat/>
    <w:rsid w:val="005242AA"/>
    <w:pPr>
      <w:spacing w:line="480" w:lineRule="auto"/>
      <w:jc w:val="center"/>
    </w:pPr>
    <w:rPr>
      <w:b/>
      <w:u w:val="single"/>
    </w:rPr>
  </w:style>
  <w:style w:type="paragraph" w:styleId="Subtitle">
    <w:name w:val="Subtitle"/>
    <w:basedOn w:val="Normal"/>
    <w:link w:val="SubtitleChar"/>
    <w:uiPriority w:val="2"/>
    <w:qFormat/>
    <w:rsid w:val="005242AA"/>
    <w:pPr>
      <w:spacing w:line="480" w:lineRule="auto"/>
      <w:jc w:val="center"/>
    </w:pPr>
    <w:rPr>
      <w:b/>
    </w:rPr>
  </w:style>
  <w:style w:type="paragraph" w:styleId="BodyText">
    <w:name w:val="Body Text"/>
    <w:basedOn w:val="Normal"/>
    <w:link w:val="BodyTextChar1"/>
    <w:qFormat/>
    <w:rsid w:val="005242AA"/>
    <w:pPr>
      <w:spacing w:line="480" w:lineRule="auto"/>
      <w:jc w:val="both"/>
    </w:pPr>
  </w:style>
  <w:style w:type="table" w:styleId="TableGrid">
    <w:name w:val="Table Grid"/>
    <w:basedOn w:val="TableNormal"/>
    <w:uiPriority w:val="59"/>
    <w:rsid w:val="00E42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08444C"/>
    <w:rPr>
      <w:rFonts w:ascii="Tahoma" w:hAnsi="Tahoma" w:cs="Tahoma"/>
      <w:sz w:val="16"/>
      <w:szCs w:val="16"/>
    </w:rPr>
  </w:style>
  <w:style w:type="paragraph" w:styleId="DocumentMap">
    <w:name w:val="Document Map"/>
    <w:basedOn w:val="Normal"/>
    <w:semiHidden/>
    <w:rsid w:val="000575DC"/>
    <w:pPr>
      <w:shd w:val="clear" w:color="auto" w:fill="000080"/>
    </w:pPr>
    <w:rPr>
      <w:rFonts w:ascii="Tahoma" w:hAnsi="Tahoma" w:cs="Tahoma"/>
      <w:sz w:val="20"/>
    </w:rPr>
  </w:style>
  <w:style w:type="character" w:styleId="CommentReference">
    <w:name w:val="annotation reference"/>
    <w:basedOn w:val="DefaultParagraphFont"/>
    <w:semiHidden/>
    <w:rsid w:val="00F540BE"/>
    <w:rPr>
      <w:sz w:val="16"/>
      <w:szCs w:val="16"/>
    </w:rPr>
  </w:style>
  <w:style w:type="paragraph" w:styleId="CommentText">
    <w:name w:val="annotation text"/>
    <w:basedOn w:val="Normal"/>
    <w:link w:val="CommentTextChar"/>
    <w:semiHidden/>
    <w:rsid w:val="00F540BE"/>
    <w:rPr>
      <w:sz w:val="20"/>
    </w:rPr>
  </w:style>
  <w:style w:type="paragraph" w:styleId="Caption">
    <w:name w:val="caption"/>
    <w:aliases w:val="Captions,CEATI Caption,GHA Caption,GHA Caption Char Char Char Char Char Char Char Char Char,GH Caption,GHA Caption Char Char,GH - Caption,Billedtekst Tegn1,Billedtekst Tegn Tegn,Billedtekst Tegn1 Tegn Tegn,Billedtekst Tegn Tegn Tegn Tegn"/>
    <w:basedOn w:val="Normal"/>
    <w:next w:val="Normal"/>
    <w:link w:val="CaptionChar"/>
    <w:uiPriority w:val="35"/>
    <w:qFormat/>
    <w:rsid w:val="00E256DE"/>
    <w:pPr>
      <w:tabs>
        <w:tab w:val="center" w:pos="4680"/>
      </w:tabs>
      <w:spacing w:after="480"/>
    </w:pPr>
    <w:rPr>
      <w:rFonts w:ascii="Times New Roman Bold" w:hAnsi="Times New Roman Bold"/>
      <w:b/>
      <w:bCs/>
      <w:szCs w:val="24"/>
    </w:rPr>
  </w:style>
  <w:style w:type="character" w:customStyle="1" w:styleId="FooterChar">
    <w:name w:val="Footer Char"/>
    <w:basedOn w:val="DefaultParagraphFont"/>
    <w:link w:val="Footer"/>
    <w:uiPriority w:val="99"/>
    <w:rsid w:val="0069177A"/>
    <w:rPr>
      <w:sz w:val="24"/>
    </w:rPr>
  </w:style>
  <w:style w:type="paragraph" w:styleId="TOC1">
    <w:name w:val="toc 1"/>
    <w:basedOn w:val="Normal"/>
    <w:next w:val="Normal"/>
    <w:uiPriority w:val="39"/>
    <w:unhideWhenUsed/>
    <w:rsid w:val="00293E41"/>
    <w:pPr>
      <w:tabs>
        <w:tab w:val="left" w:pos="720"/>
        <w:tab w:val="right" w:leader="dot" w:pos="8640"/>
        <w:tab w:val="right" w:leader="dot" w:pos="9346"/>
      </w:tabs>
      <w:spacing w:after="120"/>
      <w:ind w:left="720" w:right="720" w:hanging="720"/>
    </w:pPr>
    <w:rPr>
      <w:rFonts w:eastAsiaTheme="minorHAnsi"/>
      <w:noProof/>
      <w:szCs w:val="24"/>
    </w:rPr>
  </w:style>
  <w:style w:type="character" w:styleId="Hyperlink">
    <w:name w:val="Hyperlink"/>
    <w:basedOn w:val="DefaultParagraphFont"/>
    <w:uiPriority w:val="99"/>
    <w:unhideWhenUsed/>
    <w:rsid w:val="008C4193"/>
    <w:rPr>
      <w:color w:val="0000FF"/>
      <w:u w:val="single"/>
    </w:rPr>
  </w:style>
  <w:style w:type="character" w:customStyle="1" w:styleId="HeaderChar">
    <w:name w:val="Header Char"/>
    <w:basedOn w:val="DefaultParagraphFont"/>
    <w:link w:val="Header"/>
    <w:uiPriority w:val="99"/>
    <w:rsid w:val="003D17DF"/>
    <w:rPr>
      <w:sz w:val="24"/>
    </w:rPr>
  </w:style>
  <w:style w:type="paragraph" w:styleId="CommentSubject">
    <w:name w:val="annotation subject"/>
    <w:basedOn w:val="CommentText"/>
    <w:next w:val="CommentText"/>
    <w:link w:val="CommentSubjectChar"/>
    <w:uiPriority w:val="99"/>
    <w:rsid w:val="001A11B2"/>
    <w:rPr>
      <w:b/>
      <w:bCs/>
    </w:rPr>
  </w:style>
  <w:style w:type="character" w:customStyle="1" w:styleId="CommentTextChar">
    <w:name w:val="Comment Text Char"/>
    <w:basedOn w:val="DefaultParagraphFont"/>
    <w:link w:val="CommentText"/>
    <w:semiHidden/>
    <w:rsid w:val="001A11B2"/>
  </w:style>
  <w:style w:type="character" w:customStyle="1" w:styleId="CommentSubjectChar">
    <w:name w:val="Comment Subject Char"/>
    <w:basedOn w:val="CommentTextChar"/>
    <w:link w:val="CommentSubject"/>
    <w:uiPriority w:val="99"/>
    <w:rsid w:val="001A11B2"/>
  </w:style>
  <w:style w:type="paragraph" w:customStyle="1" w:styleId="DocID">
    <w:name w:val="DocID"/>
    <w:basedOn w:val="Footer"/>
    <w:next w:val="Footer"/>
    <w:link w:val="DocIDChar"/>
    <w:qFormat/>
    <w:rsid w:val="001C656C"/>
    <w:pPr>
      <w:jc w:val="right"/>
    </w:pPr>
    <w:rPr>
      <w:sz w:val="16"/>
      <w:szCs w:val="13"/>
    </w:rPr>
  </w:style>
  <w:style w:type="character" w:customStyle="1" w:styleId="DocIDChar">
    <w:name w:val="DocID Char"/>
    <w:basedOn w:val="DefaultParagraphFont"/>
    <w:link w:val="DocID"/>
    <w:rsid w:val="001C656C"/>
    <w:rPr>
      <w:sz w:val="16"/>
      <w:szCs w:val="13"/>
    </w:rPr>
  </w:style>
  <w:style w:type="paragraph" w:styleId="EndnoteText">
    <w:name w:val="endnote text"/>
    <w:basedOn w:val="Normal"/>
    <w:link w:val="EndnoteTextChar"/>
    <w:rsid w:val="004E444D"/>
    <w:rPr>
      <w:sz w:val="20"/>
    </w:rPr>
  </w:style>
  <w:style w:type="character" w:customStyle="1" w:styleId="EndnoteTextChar">
    <w:name w:val="Endnote Text Char"/>
    <w:basedOn w:val="DefaultParagraphFont"/>
    <w:link w:val="EndnoteText"/>
    <w:rsid w:val="004E444D"/>
  </w:style>
  <w:style w:type="character" w:styleId="EndnoteReference">
    <w:name w:val="endnote reference"/>
    <w:basedOn w:val="DefaultParagraphFont"/>
    <w:rsid w:val="004E444D"/>
    <w:rPr>
      <w:vertAlign w:val="superscript"/>
    </w:rPr>
  </w:style>
  <w:style w:type="paragraph" w:styleId="FootnoteText">
    <w:name w:val="footnote text"/>
    <w:aliases w:val="Style 12,Style 9,Style 22,Footnote Text Char1 Char,Footnote Text Char Char Char,Footnote Text Char Char1,fn,Footnote Text Char Char,ft Char,Car"/>
    <w:basedOn w:val="Normal"/>
    <w:link w:val="FootnoteTextChar"/>
    <w:rsid w:val="0062344C"/>
    <w:pPr>
      <w:jc w:val="both"/>
    </w:pPr>
    <w:rPr>
      <w:sz w:val="20"/>
    </w:rPr>
  </w:style>
  <w:style w:type="character" w:customStyle="1" w:styleId="FootnoteTextChar">
    <w:name w:val="Footnote Text Char"/>
    <w:aliases w:val="Style 12 Char,Style 9 Char,Style 22 Char,Footnote Text Char1 Char Char,Footnote Text Char Char Char Char,Footnote Text Char Char1 Char,fn Char,Footnote Text Char Char Char1,ft Char Char,Car Char"/>
    <w:basedOn w:val="DefaultParagraphFont"/>
    <w:link w:val="FootnoteText"/>
    <w:rsid w:val="0062344C"/>
  </w:style>
  <w:style w:type="character" w:styleId="FootnoteReference">
    <w:name w:val="footnote reference"/>
    <w:aliases w:val="Style 11,Style 28,Style 8,Style 21,Style 4,fr,fr1,fr2,fr3,o,o1,o2,o3,Style 17,Style 13,Style 18,(NECG) Footnote Reference,Style 20,Style 7,Style 19,Style 5,Style 30,HLR Footnote,Style 3,FR,Appel note de bas de p,Styl,fnr,Style 32"/>
    <w:basedOn w:val="DefaultParagraphFont"/>
    <w:uiPriority w:val="99"/>
    <w:qFormat/>
    <w:rsid w:val="004E444D"/>
    <w:rPr>
      <w:vertAlign w:val="superscript"/>
    </w:rPr>
  </w:style>
  <w:style w:type="character" w:customStyle="1" w:styleId="BodyTextIndentChar">
    <w:name w:val="Body Text Indent Char"/>
    <w:basedOn w:val="DefaultParagraphFont"/>
    <w:link w:val="BodyTextIndent"/>
    <w:uiPriority w:val="99"/>
    <w:rsid w:val="00C60DF9"/>
    <w:rPr>
      <w:sz w:val="24"/>
    </w:rPr>
  </w:style>
  <w:style w:type="paragraph" w:styleId="TOCHeading">
    <w:name w:val="TOC Heading"/>
    <w:basedOn w:val="Heading1"/>
    <w:next w:val="Normal"/>
    <w:uiPriority w:val="39"/>
    <w:unhideWhenUsed/>
    <w:qFormat/>
    <w:rsid w:val="008235A3"/>
    <w:pPr>
      <w:keepLines/>
      <w:spacing w:before="480" w:line="276" w:lineRule="auto"/>
      <w:jc w:val="left"/>
      <w:outlineLvl w:val="9"/>
    </w:pPr>
    <w:rPr>
      <w:rFonts w:ascii="Cambria" w:hAnsi="Cambria"/>
      <w:b w:val="0"/>
      <w:bCs/>
      <w:color w:val="365F91"/>
      <w:sz w:val="28"/>
      <w:szCs w:val="28"/>
    </w:rPr>
  </w:style>
  <w:style w:type="paragraph" w:styleId="TOC2">
    <w:name w:val="toc 2"/>
    <w:basedOn w:val="Normal"/>
    <w:next w:val="Normal"/>
    <w:uiPriority w:val="39"/>
    <w:unhideWhenUsed/>
    <w:rsid w:val="001C12F4"/>
    <w:pPr>
      <w:tabs>
        <w:tab w:val="left" w:pos="720"/>
        <w:tab w:val="right" w:leader="dot" w:pos="8640"/>
        <w:tab w:val="right" w:leader="dot" w:pos="9350"/>
      </w:tabs>
      <w:spacing w:after="120"/>
      <w:ind w:left="1440" w:right="720" w:hanging="720"/>
      <w:contextualSpacing/>
    </w:pPr>
    <w:rPr>
      <w:rFonts w:eastAsiaTheme="minorHAnsi"/>
      <w:szCs w:val="24"/>
    </w:rPr>
  </w:style>
  <w:style w:type="paragraph" w:customStyle="1" w:styleId="AnswerBody">
    <w:name w:val="Answer Body"/>
    <w:basedOn w:val="Answer"/>
    <w:rsid w:val="00821493"/>
    <w:pPr>
      <w:ind w:firstLine="0"/>
    </w:pPr>
  </w:style>
  <w:style w:type="paragraph" w:customStyle="1" w:styleId="Question">
    <w:name w:val="Question"/>
    <w:basedOn w:val="Normal"/>
    <w:next w:val="Answer"/>
    <w:link w:val="QuestionCharChar"/>
    <w:qFormat/>
    <w:rsid w:val="00821493"/>
    <w:pPr>
      <w:keepNext/>
      <w:tabs>
        <w:tab w:val="left" w:pos="720"/>
      </w:tabs>
      <w:spacing w:before="120" w:line="480" w:lineRule="auto"/>
      <w:ind w:left="720" w:hanging="720"/>
      <w:jc w:val="both"/>
    </w:pPr>
    <w:rPr>
      <w:b/>
      <w:caps/>
      <w:szCs w:val="24"/>
    </w:rPr>
  </w:style>
  <w:style w:type="paragraph" w:customStyle="1" w:styleId="Answer">
    <w:name w:val="Answer"/>
    <w:basedOn w:val="Normal"/>
    <w:next w:val="AnswerBody"/>
    <w:link w:val="AnswerChar"/>
    <w:qFormat/>
    <w:rsid w:val="00821493"/>
    <w:pPr>
      <w:tabs>
        <w:tab w:val="left" w:pos="720"/>
      </w:tabs>
      <w:spacing w:line="480" w:lineRule="auto"/>
      <w:ind w:left="720" w:hanging="720"/>
      <w:jc w:val="both"/>
    </w:pPr>
  </w:style>
  <w:style w:type="character" w:customStyle="1" w:styleId="AnswerChar">
    <w:name w:val="Answer Char"/>
    <w:basedOn w:val="DefaultParagraphFont"/>
    <w:link w:val="Answer"/>
    <w:rsid w:val="00821493"/>
    <w:rPr>
      <w:sz w:val="24"/>
    </w:rPr>
  </w:style>
  <w:style w:type="character" w:customStyle="1" w:styleId="QuestionCharChar">
    <w:name w:val="Question Char Char"/>
    <w:basedOn w:val="DefaultParagraphFont"/>
    <w:link w:val="Question"/>
    <w:rsid w:val="00821493"/>
    <w:rPr>
      <w:b/>
      <w:caps/>
      <w:sz w:val="24"/>
      <w:szCs w:val="24"/>
    </w:rPr>
  </w:style>
  <w:style w:type="paragraph" w:styleId="NormalWeb">
    <w:name w:val="Normal (Web)"/>
    <w:basedOn w:val="Normal"/>
    <w:uiPriority w:val="99"/>
    <w:semiHidden/>
    <w:unhideWhenUsed/>
    <w:rsid w:val="00183141"/>
    <w:pPr>
      <w:spacing w:before="100" w:beforeAutospacing="1" w:after="100" w:afterAutospacing="1"/>
    </w:pPr>
    <w:rPr>
      <w:szCs w:val="24"/>
    </w:rPr>
  </w:style>
  <w:style w:type="character" w:customStyle="1" w:styleId="AnswerCharChar">
    <w:name w:val="Answer Char Char"/>
    <w:basedOn w:val="DefaultParagraphFont"/>
    <w:rsid w:val="00203A01"/>
    <w:rPr>
      <w:rFonts w:eastAsia="Times New Roman"/>
      <w:bCs/>
      <w:color w:val="000000" w:themeColor="text1"/>
    </w:rPr>
  </w:style>
  <w:style w:type="character" w:customStyle="1" w:styleId="QuestionChar1">
    <w:name w:val="Question Char1"/>
    <w:basedOn w:val="DefaultParagraphFont"/>
    <w:locked/>
    <w:rsid w:val="00203A01"/>
    <w:rPr>
      <w:rFonts w:ascii="Times New Roman Bold" w:eastAsia="Times New Roman" w:hAnsi="Times New Roman Bold"/>
      <w:b/>
      <w:bCs/>
      <w:caps/>
    </w:rPr>
  </w:style>
  <w:style w:type="paragraph" w:styleId="ListParagraph">
    <w:name w:val="List Paragraph"/>
    <w:basedOn w:val="Normal"/>
    <w:uiPriority w:val="34"/>
    <w:qFormat/>
    <w:rsid w:val="00CE135B"/>
    <w:pPr>
      <w:ind w:left="720"/>
      <w:contextualSpacing/>
    </w:pPr>
    <w:rPr>
      <w:szCs w:val="24"/>
    </w:rPr>
  </w:style>
  <w:style w:type="paragraph" w:styleId="Revision">
    <w:name w:val="Revision"/>
    <w:hidden/>
    <w:uiPriority w:val="99"/>
    <w:semiHidden/>
    <w:rsid w:val="007A23CB"/>
    <w:rPr>
      <w:sz w:val="24"/>
    </w:rPr>
  </w:style>
  <w:style w:type="character" w:customStyle="1" w:styleId="Heading7Char">
    <w:name w:val="Heading 7 Char"/>
    <w:basedOn w:val="DefaultParagraphFont"/>
    <w:link w:val="Heading7"/>
    <w:uiPriority w:val="9"/>
    <w:semiHidden/>
    <w:rsid w:val="009F0A90"/>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F0A90"/>
    <w:rPr>
      <w:rFonts w:asciiTheme="minorHAnsi" w:eastAsiaTheme="minorEastAsia" w:hAnsiTheme="minorHAnsi" w:cstheme="minorBidi"/>
      <w:iCs/>
      <w:sz w:val="22"/>
      <w:szCs w:val="22"/>
    </w:rPr>
  </w:style>
  <w:style w:type="character" w:customStyle="1" w:styleId="Heading9Char">
    <w:name w:val="Heading 9 Char"/>
    <w:basedOn w:val="DefaultParagraphFont"/>
    <w:link w:val="Heading9"/>
    <w:uiPriority w:val="9"/>
    <w:semiHidden/>
    <w:rsid w:val="009F0A90"/>
    <w:rPr>
      <w:rFonts w:asciiTheme="minorHAnsi" w:eastAsiaTheme="majorEastAsia" w:hAnsiTheme="minorHAnsi" w:cstheme="majorBidi"/>
      <w:i/>
      <w:spacing w:val="5"/>
      <w:sz w:val="22"/>
      <w:szCs w:val="22"/>
    </w:rPr>
  </w:style>
  <w:style w:type="character" w:customStyle="1" w:styleId="Heading1Char">
    <w:name w:val="Heading 1 Char"/>
    <w:basedOn w:val="DefaultParagraphFont"/>
    <w:link w:val="Heading1"/>
    <w:rsid w:val="001C12F4"/>
    <w:rPr>
      <w:b/>
      <w:caps/>
      <w:sz w:val="24"/>
    </w:rPr>
  </w:style>
  <w:style w:type="character" w:customStyle="1" w:styleId="BodyTextChar">
    <w:name w:val="Body Text Char"/>
    <w:basedOn w:val="DefaultParagraphFont"/>
    <w:semiHidden/>
    <w:rsid w:val="009F0A90"/>
  </w:style>
  <w:style w:type="character" w:customStyle="1" w:styleId="Heading2Char">
    <w:name w:val="Heading 2 Char"/>
    <w:basedOn w:val="DefaultParagraphFont"/>
    <w:link w:val="Heading2"/>
    <w:rsid w:val="009F0A90"/>
    <w:rPr>
      <w:b/>
      <w:sz w:val="24"/>
    </w:rPr>
  </w:style>
  <w:style w:type="paragraph" w:customStyle="1" w:styleId="TestimonyQuestion">
    <w:name w:val="Testimony Question"/>
    <w:basedOn w:val="BodyTextIndent"/>
    <w:next w:val="TestimonyAnswer"/>
    <w:link w:val="TestimonyQuestionChar"/>
    <w:uiPriority w:val="99"/>
    <w:qFormat/>
    <w:rsid w:val="009F0A90"/>
    <w:pPr>
      <w:spacing w:line="480" w:lineRule="auto"/>
      <w:ind w:hanging="720"/>
      <w:jc w:val="both"/>
    </w:pPr>
    <w:rPr>
      <w:rFonts w:ascii="Arial" w:eastAsia="Calibri" w:hAnsi="Arial"/>
      <w:b/>
      <w:bCs/>
      <w:caps/>
      <w:szCs w:val="22"/>
    </w:rPr>
  </w:style>
  <w:style w:type="paragraph" w:customStyle="1" w:styleId="TestimonyAnswer">
    <w:name w:val="Testimony Answer"/>
    <w:basedOn w:val="Normal"/>
    <w:link w:val="TestimonyAnswerChar"/>
    <w:qFormat/>
    <w:rsid w:val="009F0A90"/>
    <w:pPr>
      <w:spacing w:line="480" w:lineRule="auto"/>
      <w:ind w:left="720" w:hanging="720"/>
      <w:jc w:val="both"/>
    </w:pPr>
    <w:rPr>
      <w:rFonts w:ascii="Arial" w:eastAsia="Calibri" w:hAnsi="Arial"/>
      <w:bCs/>
      <w:szCs w:val="22"/>
    </w:rPr>
  </w:style>
  <w:style w:type="character" w:customStyle="1" w:styleId="TestimonyAnswerChar">
    <w:name w:val="Testimony Answer Char"/>
    <w:link w:val="TestimonyAnswer"/>
    <w:rsid w:val="009F0A90"/>
    <w:rPr>
      <w:rFonts w:ascii="Arial" w:eastAsia="Calibri" w:hAnsi="Arial"/>
      <w:bCs/>
      <w:sz w:val="24"/>
      <w:szCs w:val="22"/>
    </w:rPr>
  </w:style>
  <w:style w:type="character" w:customStyle="1" w:styleId="TestimonyQuestionChar">
    <w:name w:val="Testimony Question Char"/>
    <w:link w:val="TestimonyQuestion"/>
    <w:uiPriority w:val="99"/>
    <w:rsid w:val="009F0A90"/>
    <w:rPr>
      <w:rFonts w:ascii="Arial" w:eastAsia="Calibri" w:hAnsi="Arial"/>
      <w:b/>
      <w:bCs/>
      <w:caps/>
      <w:sz w:val="24"/>
      <w:szCs w:val="22"/>
    </w:rPr>
  </w:style>
  <w:style w:type="character" w:customStyle="1" w:styleId="BalloonTextChar">
    <w:name w:val="Balloon Text Char"/>
    <w:basedOn w:val="DefaultParagraphFont"/>
    <w:link w:val="BalloonText"/>
    <w:uiPriority w:val="99"/>
    <w:semiHidden/>
    <w:rsid w:val="009F0A90"/>
    <w:rPr>
      <w:rFonts w:ascii="Tahoma" w:hAnsi="Tahoma" w:cs="Tahoma"/>
      <w:sz w:val="16"/>
      <w:szCs w:val="16"/>
    </w:rPr>
  </w:style>
  <w:style w:type="character" w:customStyle="1" w:styleId="TitleChar">
    <w:name w:val="Title Char"/>
    <w:aliases w:val="Style 29 Char"/>
    <w:basedOn w:val="DefaultParagraphFont"/>
    <w:link w:val="Title"/>
    <w:rsid w:val="009F0A90"/>
    <w:rPr>
      <w:b/>
      <w:sz w:val="24"/>
      <w:u w:val="single"/>
    </w:rPr>
  </w:style>
  <w:style w:type="character" w:customStyle="1" w:styleId="Document8">
    <w:name w:val="Document 8"/>
    <w:basedOn w:val="DefaultParagraphFont"/>
    <w:rsid w:val="009F0A90"/>
  </w:style>
  <w:style w:type="character" w:customStyle="1" w:styleId="BodyTextIndent2Char">
    <w:name w:val="Body Text Indent 2 Char"/>
    <w:basedOn w:val="DefaultParagraphFont"/>
    <w:link w:val="BodyTextIndent2"/>
    <w:uiPriority w:val="99"/>
    <w:rsid w:val="009F0A90"/>
    <w:rPr>
      <w:sz w:val="24"/>
    </w:rPr>
  </w:style>
  <w:style w:type="paragraph" w:customStyle="1" w:styleId="cm9">
    <w:name w:val="cm9"/>
    <w:basedOn w:val="Normal"/>
    <w:rsid w:val="009F0A90"/>
    <w:pPr>
      <w:autoSpaceDE w:val="0"/>
      <w:autoSpaceDN w:val="0"/>
      <w:spacing w:line="553" w:lineRule="atLeast"/>
    </w:pPr>
    <w:rPr>
      <w:rFonts w:ascii="Arial" w:hAnsi="Arial" w:cs="Arial"/>
      <w:szCs w:val="24"/>
    </w:rPr>
  </w:style>
  <w:style w:type="character" w:customStyle="1" w:styleId="BodyTextIndent3Char">
    <w:name w:val="Body Text Indent 3 Char"/>
    <w:basedOn w:val="DefaultParagraphFont"/>
    <w:link w:val="BodyTextIndent3"/>
    <w:uiPriority w:val="99"/>
    <w:rsid w:val="009F0A90"/>
    <w:rPr>
      <w:sz w:val="24"/>
    </w:rPr>
  </w:style>
  <w:style w:type="paragraph" w:styleId="TOC3">
    <w:name w:val="toc 3"/>
    <w:basedOn w:val="Normal"/>
    <w:next w:val="Normal"/>
    <w:uiPriority w:val="39"/>
    <w:unhideWhenUsed/>
    <w:rsid w:val="001C12F4"/>
    <w:pPr>
      <w:tabs>
        <w:tab w:val="left" w:pos="720"/>
        <w:tab w:val="left" w:pos="1440"/>
        <w:tab w:val="left" w:pos="2160"/>
        <w:tab w:val="right" w:leader="dot" w:pos="8630"/>
        <w:tab w:val="right" w:leader="dot" w:pos="9350"/>
      </w:tabs>
      <w:spacing w:after="120"/>
      <w:ind w:left="2160" w:right="720" w:hanging="720"/>
      <w:contextualSpacing/>
    </w:pPr>
    <w:rPr>
      <w:rFonts w:eastAsiaTheme="minorHAnsi"/>
      <w:noProof/>
      <w:szCs w:val="24"/>
    </w:rPr>
  </w:style>
  <w:style w:type="paragraph" w:styleId="TOC4">
    <w:name w:val="toc 4"/>
    <w:basedOn w:val="Normal"/>
    <w:next w:val="Normal"/>
    <w:autoRedefine/>
    <w:uiPriority w:val="39"/>
    <w:unhideWhenUsed/>
    <w:rsid w:val="009F0A90"/>
    <w:pPr>
      <w:spacing w:line="276" w:lineRule="auto"/>
      <w:ind w:left="660"/>
    </w:pPr>
    <w:rPr>
      <w:rFonts w:asciiTheme="minorHAnsi" w:eastAsiaTheme="minorHAnsi" w:hAnsiTheme="minorHAnsi" w:cstheme="minorHAnsi"/>
      <w:sz w:val="18"/>
      <w:szCs w:val="18"/>
    </w:rPr>
  </w:style>
  <w:style w:type="paragraph" w:styleId="TOC5">
    <w:name w:val="toc 5"/>
    <w:basedOn w:val="Normal"/>
    <w:next w:val="Normal"/>
    <w:autoRedefine/>
    <w:uiPriority w:val="39"/>
    <w:unhideWhenUsed/>
    <w:rsid w:val="009F0A90"/>
    <w:pPr>
      <w:spacing w:line="276" w:lineRule="auto"/>
      <w:ind w:left="880"/>
    </w:pPr>
    <w:rPr>
      <w:rFonts w:asciiTheme="minorHAnsi" w:eastAsiaTheme="minorHAnsi" w:hAnsiTheme="minorHAnsi" w:cstheme="minorHAnsi"/>
      <w:sz w:val="18"/>
      <w:szCs w:val="18"/>
    </w:rPr>
  </w:style>
  <w:style w:type="paragraph" w:styleId="TOC6">
    <w:name w:val="toc 6"/>
    <w:basedOn w:val="Normal"/>
    <w:next w:val="Normal"/>
    <w:autoRedefine/>
    <w:uiPriority w:val="39"/>
    <w:unhideWhenUsed/>
    <w:rsid w:val="009F0A90"/>
    <w:pPr>
      <w:spacing w:line="276" w:lineRule="auto"/>
      <w:ind w:left="1100"/>
    </w:pPr>
    <w:rPr>
      <w:rFonts w:asciiTheme="minorHAnsi" w:eastAsiaTheme="minorHAnsi" w:hAnsiTheme="minorHAnsi" w:cstheme="minorHAnsi"/>
      <w:sz w:val="18"/>
      <w:szCs w:val="18"/>
    </w:rPr>
  </w:style>
  <w:style w:type="paragraph" w:styleId="TOC7">
    <w:name w:val="toc 7"/>
    <w:basedOn w:val="Normal"/>
    <w:next w:val="Normal"/>
    <w:autoRedefine/>
    <w:uiPriority w:val="39"/>
    <w:unhideWhenUsed/>
    <w:rsid w:val="009F0A90"/>
    <w:pPr>
      <w:spacing w:line="276" w:lineRule="auto"/>
      <w:ind w:left="1320"/>
    </w:pPr>
    <w:rPr>
      <w:rFonts w:asciiTheme="minorHAnsi" w:eastAsiaTheme="minorHAnsi" w:hAnsiTheme="minorHAnsi" w:cstheme="minorHAnsi"/>
      <w:sz w:val="18"/>
      <w:szCs w:val="18"/>
    </w:rPr>
  </w:style>
  <w:style w:type="paragraph" w:styleId="TOC8">
    <w:name w:val="toc 8"/>
    <w:basedOn w:val="Normal"/>
    <w:next w:val="Normal"/>
    <w:autoRedefine/>
    <w:uiPriority w:val="39"/>
    <w:unhideWhenUsed/>
    <w:rsid w:val="009F0A90"/>
    <w:pPr>
      <w:spacing w:line="276" w:lineRule="auto"/>
      <w:ind w:left="1540"/>
    </w:pPr>
    <w:rPr>
      <w:rFonts w:asciiTheme="minorHAnsi" w:eastAsiaTheme="minorHAnsi" w:hAnsiTheme="minorHAnsi" w:cstheme="minorHAnsi"/>
      <w:sz w:val="18"/>
      <w:szCs w:val="18"/>
    </w:rPr>
  </w:style>
  <w:style w:type="paragraph" w:styleId="TOC9">
    <w:name w:val="toc 9"/>
    <w:basedOn w:val="Normal"/>
    <w:next w:val="Normal"/>
    <w:autoRedefine/>
    <w:uiPriority w:val="39"/>
    <w:unhideWhenUsed/>
    <w:rsid w:val="009F0A90"/>
    <w:pPr>
      <w:spacing w:line="276" w:lineRule="auto"/>
      <w:ind w:left="1760"/>
    </w:pPr>
    <w:rPr>
      <w:rFonts w:asciiTheme="minorHAnsi" w:eastAsiaTheme="minorHAnsi" w:hAnsiTheme="minorHAnsi" w:cstheme="minorHAnsi"/>
      <w:sz w:val="18"/>
      <w:szCs w:val="18"/>
    </w:rPr>
  </w:style>
  <w:style w:type="paragraph" w:customStyle="1" w:styleId="Default">
    <w:name w:val="Default"/>
    <w:rsid w:val="009F0A90"/>
    <w:pPr>
      <w:autoSpaceDE w:val="0"/>
      <w:autoSpaceDN w:val="0"/>
      <w:adjustRightInd w:val="0"/>
    </w:pPr>
    <w:rPr>
      <w:rFonts w:ascii="Arial" w:eastAsiaTheme="minorHAnsi" w:hAnsi="Arial" w:cs="Arial"/>
      <w:color w:val="000000"/>
      <w:sz w:val="24"/>
      <w:szCs w:val="24"/>
    </w:rPr>
  </w:style>
  <w:style w:type="character" w:customStyle="1" w:styleId="Heading3Char">
    <w:name w:val="Heading 3 Char"/>
    <w:basedOn w:val="DefaultParagraphFont"/>
    <w:link w:val="Heading3"/>
    <w:rsid w:val="009F0A90"/>
    <w:rPr>
      <w:b/>
      <w:sz w:val="24"/>
      <w:u w:val="single"/>
    </w:rPr>
  </w:style>
  <w:style w:type="character" w:customStyle="1" w:styleId="Heading4Char">
    <w:name w:val="Heading 4 Char"/>
    <w:basedOn w:val="DefaultParagraphFont"/>
    <w:link w:val="Heading4"/>
    <w:rsid w:val="009F0A90"/>
    <w:rPr>
      <w:snapToGrid w:val="0"/>
      <w:color w:val="000000"/>
      <w:sz w:val="24"/>
      <w:u w:val="single"/>
    </w:rPr>
  </w:style>
  <w:style w:type="character" w:customStyle="1" w:styleId="Heading5Char">
    <w:name w:val="Heading 5 Char"/>
    <w:basedOn w:val="DefaultParagraphFont"/>
    <w:link w:val="Heading5"/>
    <w:uiPriority w:val="9"/>
    <w:rsid w:val="009F0A90"/>
    <w:rPr>
      <w:b/>
      <w:sz w:val="24"/>
    </w:rPr>
  </w:style>
  <w:style w:type="character" w:customStyle="1" w:styleId="Heading6Char">
    <w:name w:val="Heading 6 Char"/>
    <w:basedOn w:val="DefaultParagraphFont"/>
    <w:link w:val="Heading6"/>
    <w:uiPriority w:val="9"/>
    <w:rsid w:val="009F0A90"/>
    <w:rPr>
      <w:b/>
      <w:sz w:val="24"/>
    </w:rPr>
  </w:style>
  <w:style w:type="paragraph" w:styleId="List">
    <w:name w:val="List"/>
    <w:basedOn w:val="Normal"/>
    <w:uiPriority w:val="1"/>
    <w:semiHidden/>
    <w:unhideWhenUsed/>
    <w:rsid w:val="009F0A90"/>
    <w:pPr>
      <w:spacing w:after="240" w:line="276" w:lineRule="auto"/>
      <w:ind w:left="360" w:hanging="360"/>
      <w:contextualSpacing/>
    </w:pPr>
    <w:rPr>
      <w:rFonts w:asciiTheme="minorHAnsi" w:eastAsiaTheme="minorHAnsi" w:hAnsiTheme="minorHAnsi" w:cstheme="minorBidi"/>
      <w:sz w:val="22"/>
      <w:szCs w:val="22"/>
    </w:rPr>
  </w:style>
  <w:style w:type="paragraph" w:styleId="ListBullet">
    <w:name w:val="List Bullet"/>
    <w:basedOn w:val="Normal"/>
    <w:uiPriority w:val="1"/>
    <w:unhideWhenUsed/>
    <w:qFormat/>
    <w:rsid w:val="009F0A90"/>
    <w:pPr>
      <w:numPr>
        <w:numId w:val="20"/>
      </w:numPr>
      <w:spacing w:after="240" w:line="276" w:lineRule="auto"/>
      <w:contextualSpacing/>
    </w:pPr>
    <w:rPr>
      <w:rFonts w:asciiTheme="minorHAnsi" w:eastAsiaTheme="minorHAnsi" w:hAnsiTheme="minorHAnsi" w:cstheme="minorBidi"/>
      <w:sz w:val="22"/>
      <w:szCs w:val="22"/>
    </w:rPr>
  </w:style>
  <w:style w:type="paragraph" w:styleId="ListNumber">
    <w:name w:val="List Number"/>
    <w:basedOn w:val="Normal"/>
    <w:uiPriority w:val="1"/>
    <w:unhideWhenUsed/>
    <w:qFormat/>
    <w:rsid w:val="009F0A90"/>
    <w:pPr>
      <w:numPr>
        <w:numId w:val="21"/>
      </w:numPr>
      <w:spacing w:after="240" w:line="276" w:lineRule="auto"/>
      <w:contextualSpacing/>
    </w:pPr>
    <w:rPr>
      <w:rFonts w:asciiTheme="minorHAnsi" w:eastAsiaTheme="minorHAnsi" w:hAnsiTheme="minorHAnsi" w:cstheme="minorBidi"/>
      <w:sz w:val="22"/>
      <w:szCs w:val="22"/>
    </w:rPr>
  </w:style>
  <w:style w:type="paragraph" w:styleId="ListBullet2">
    <w:name w:val="List Bullet 2"/>
    <w:basedOn w:val="Normal"/>
    <w:uiPriority w:val="1"/>
    <w:semiHidden/>
    <w:unhideWhenUsed/>
    <w:qFormat/>
    <w:rsid w:val="009F0A90"/>
    <w:pPr>
      <w:numPr>
        <w:numId w:val="22"/>
      </w:numPr>
      <w:spacing w:after="240" w:line="276" w:lineRule="auto"/>
      <w:contextualSpacing/>
    </w:pPr>
    <w:rPr>
      <w:rFonts w:asciiTheme="minorHAnsi" w:eastAsiaTheme="minorHAnsi" w:hAnsiTheme="minorHAnsi" w:cstheme="minorBidi"/>
      <w:sz w:val="22"/>
      <w:szCs w:val="22"/>
    </w:rPr>
  </w:style>
  <w:style w:type="paragraph" w:styleId="ListBullet3">
    <w:name w:val="List Bullet 3"/>
    <w:basedOn w:val="Normal"/>
    <w:uiPriority w:val="99"/>
    <w:semiHidden/>
    <w:unhideWhenUsed/>
    <w:qFormat/>
    <w:rsid w:val="009F0A90"/>
    <w:pPr>
      <w:numPr>
        <w:numId w:val="23"/>
      </w:numPr>
      <w:spacing w:after="240" w:line="276" w:lineRule="auto"/>
      <w:contextualSpacing/>
    </w:pPr>
    <w:rPr>
      <w:rFonts w:asciiTheme="minorHAnsi" w:eastAsiaTheme="minorHAnsi" w:hAnsiTheme="minorHAnsi" w:cstheme="minorBidi"/>
      <w:sz w:val="22"/>
      <w:szCs w:val="22"/>
    </w:rPr>
  </w:style>
  <w:style w:type="paragraph" w:styleId="ListNumber2">
    <w:name w:val="List Number 2"/>
    <w:basedOn w:val="Normal"/>
    <w:uiPriority w:val="1"/>
    <w:semiHidden/>
    <w:unhideWhenUsed/>
    <w:qFormat/>
    <w:rsid w:val="009F0A90"/>
    <w:pPr>
      <w:numPr>
        <w:numId w:val="24"/>
      </w:numPr>
      <w:spacing w:after="240" w:line="276" w:lineRule="auto"/>
      <w:contextualSpacing/>
    </w:pPr>
    <w:rPr>
      <w:rFonts w:asciiTheme="minorHAnsi" w:eastAsiaTheme="minorHAnsi" w:hAnsiTheme="minorHAnsi" w:cstheme="minorBidi"/>
      <w:sz w:val="22"/>
      <w:szCs w:val="22"/>
    </w:rPr>
  </w:style>
  <w:style w:type="paragraph" w:styleId="ListNumber3">
    <w:name w:val="List Number 3"/>
    <w:basedOn w:val="Normal"/>
    <w:uiPriority w:val="99"/>
    <w:semiHidden/>
    <w:unhideWhenUsed/>
    <w:qFormat/>
    <w:rsid w:val="009F0A90"/>
    <w:pPr>
      <w:numPr>
        <w:numId w:val="25"/>
      </w:numPr>
      <w:spacing w:after="240" w:line="276" w:lineRule="auto"/>
      <w:contextualSpacing/>
    </w:pPr>
    <w:rPr>
      <w:rFonts w:asciiTheme="minorHAnsi" w:eastAsiaTheme="minorHAnsi" w:hAnsiTheme="minorHAnsi" w:cstheme="minorBidi"/>
      <w:sz w:val="22"/>
      <w:szCs w:val="22"/>
    </w:rPr>
  </w:style>
  <w:style w:type="character" w:customStyle="1" w:styleId="TitleChar1">
    <w:name w:val="Title Char1"/>
    <w:aliases w:val="Style 29 Char1"/>
    <w:basedOn w:val="DefaultParagraphFont"/>
    <w:rsid w:val="009F0A90"/>
    <w:rPr>
      <w:rFonts w:asciiTheme="majorHAnsi" w:eastAsiaTheme="majorEastAsia" w:hAnsiTheme="majorHAnsi" w:cstheme="majorBidi"/>
      <w:color w:val="17365D" w:themeColor="text2" w:themeShade="BF"/>
      <w:spacing w:val="5"/>
      <w:kern w:val="28"/>
      <w:sz w:val="52"/>
      <w:szCs w:val="52"/>
    </w:rPr>
  </w:style>
  <w:style w:type="character" w:customStyle="1" w:styleId="ClosingChar">
    <w:name w:val="Closing Char"/>
    <w:basedOn w:val="DefaultParagraphFont"/>
    <w:link w:val="Closing"/>
    <w:uiPriority w:val="99"/>
    <w:semiHidden/>
    <w:rsid w:val="009F0A90"/>
  </w:style>
  <w:style w:type="paragraph" w:styleId="Closing">
    <w:name w:val="Closing"/>
    <w:basedOn w:val="Normal"/>
    <w:link w:val="ClosingChar"/>
    <w:uiPriority w:val="99"/>
    <w:semiHidden/>
    <w:unhideWhenUsed/>
    <w:rsid w:val="009F0A90"/>
    <w:pPr>
      <w:spacing w:after="200" w:line="276" w:lineRule="auto"/>
      <w:ind w:left="4320"/>
    </w:pPr>
    <w:rPr>
      <w:sz w:val="20"/>
    </w:rPr>
  </w:style>
  <w:style w:type="character" w:customStyle="1" w:styleId="ClosingChar1">
    <w:name w:val="Closing Char1"/>
    <w:basedOn w:val="DefaultParagraphFont"/>
    <w:semiHidden/>
    <w:rsid w:val="009F0A90"/>
    <w:rPr>
      <w:sz w:val="24"/>
    </w:rPr>
  </w:style>
  <w:style w:type="character" w:customStyle="1" w:styleId="SignatureChar">
    <w:name w:val="Signature Char"/>
    <w:basedOn w:val="DefaultParagraphFont"/>
    <w:link w:val="Signature"/>
    <w:uiPriority w:val="99"/>
    <w:semiHidden/>
    <w:rsid w:val="009F0A90"/>
  </w:style>
  <w:style w:type="paragraph" w:styleId="Signature">
    <w:name w:val="Signature"/>
    <w:basedOn w:val="Normal"/>
    <w:link w:val="SignatureChar"/>
    <w:uiPriority w:val="99"/>
    <w:semiHidden/>
    <w:unhideWhenUsed/>
    <w:qFormat/>
    <w:rsid w:val="009F0A90"/>
    <w:pPr>
      <w:spacing w:after="200" w:line="276" w:lineRule="auto"/>
      <w:ind w:left="4320"/>
    </w:pPr>
    <w:rPr>
      <w:sz w:val="20"/>
    </w:rPr>
  </w:style>
  <w:style w:type="character" w:customStyle="1" w:styleId="SignatureChar1">
    <w:name w:val="Signature Char1"/>
    <w:basedOn w:val="DefaultParagraphFont"/>
    <w:semiHidden/>
    <w:rsid w:val="009F0A90"/>
    <w:rPr>
      <w:sz w:val="24"/>
    </w:rPr>
  </w:style>
  <w:style w:type="character" w:customStyle="1" w:styleId="SubtitleChar">
    <w:name w:val="Subtitle Char"/>
    <w:basedOn w:val="DefaultParagraphFont"/>
    <w:link w:val="Subtitle"/>
    <w:uiPriority w:val="2"/>
    <w:rsid w:val="009F0A90"/>
    <w:rPr>
      <w:b/>
      <w:sz w:val="24"/>
    </w:rPr>
  </w:style>
  <w:style w:type="character" w:customStyle="1" w:styleId="DateChar">
    <w:name w:val="Date Char"/>
    <w:basedOn w:val="DefaultParagraphFont"/>
    <w:link w:val="Date"/>
    <w:uiPriority w:val="99"/>
    <w:semiHidden/>
    <w:rsid w:val="009F0A90"/>
  </w:style>
  <w:style w:type="paragraph" w:styleId="Date">
    <w:name w:val="Date"/>
    <w:basedOn w:val="Normal"/>
    <w:next w:val="Normal"/>
    <w:link w:val="DateChar"/>
    <w:uiPriority w:val="99"/>
    <w:semiHidden/>
    <w:unhideWhenUsed/>
    <w:rsid w:val="009F0A90"/>
    <w:pPr>
      <w:spacing w:after="200" w:line="276" w:lineRule="auto"/>
    </w:pPr>
    <w:rPr>
      <w:sz w:val="20"/>
    </w:rPr>
  </w:style>
  <w:style w:type="character" w:customStyle="1" w:styleId="DateChar1">
    <w:name w:val="Date Char1"/>
    <w:basedOn w:val="DefaultParagraphFont"/>
    <w:semiHidden/>
    <w:rsid w:val="009F0A90"/>
    <w:rPr>
      <w:sz w:val="24"/>
    </w:rPr>
  </w:style>
  <w:style w:type="character" w:customStyle="1" w:styleId="BodyTextFirstIndentChar">
    <w:name w:val="Body Text First Indent Char"/>
    <w:basedOn w:val="BodyTextChar"/>
    <w:link w:val="BodyTextFirstIndent"/>
    <w:semiHidden/>
    <w:rsid w:val="009F0A90"/>
  </w:style>
  <w:style w:type="paragraph" w:styleId="BodyTextFirstIndent">
    <w:name w:val="Body Text First Indent"/>
    <w:basedOn w:val="BodyText"/>
    <w:link w:val="BodyTextFirstIndentChar"/>
    <w:semiHidden/>
    <w:unhideWhenUsed/>
    <w:qFormat/>
    <w:rsid w:val="009F0A90"/>
    <w:pPr>
      <w:spacing w:after="240" w:line="276" w:lineRule="auto"/>
      <w:ind w:firstLine="720"/>
      <w:jc w:val="left"/>
    </w:pPr>
    <w:rPr>
      <w:sz w:val="20"/>
    </w:rPr>
  </w:style>
  <w:style w:type="character" w:customStyle="1" w:styleId="BodyTextChar1">
    <w:name w:val="Body Text Char1"/>
    <w:basedOn w:val="DefaultParagraphFont"/>
    <w:link w:val="BodyText"/>
    <w:rsid w:val="009F0A90"/>
    <w:rPr>
      <w:sz w:val="24"/>
    </w:rPr>
  </w:style>
  <w:style w:type="character" w:customStyle="1" w:styleId="BodyTextFirstIndentChar1">
    <w:name w:val="Body Text First Indent Char1"/>
    <w:basedOn w:val="BodyTextChar1"/>
    <w:semiHidden/>
    <w:rsid w:val="009F0A90"/>
    <w:rPr>
      <w:sz w:val="24"/>
    </w:rPr>
  </w:style>
  <w:style w:type="character" w:customStyle="1" w:styleId="BodyTextFirstIndent2Char">
    <w:name w:val="Body Text First Indent 2 Char"/>
    <w:basedOn w:val="BodyTextIndentChar"/>
    <w:link w:val="BodyTextFirstIndent2"/>
    <w:semiHidden/>
    <w:rsid w:val="009F0A90"/>
    <w:rPr>
      <w:sz w:val="24"/>
    </w:rPr>
  </w:style>
  <w:style w:type="paragraph" w:styleId="BodyTextFirstIndent2">
    <w:name w:val="Body Text First Indent 2"/>
    <w:basedOn w:val="BodyTextIndent"/>
    <w:link w:val="BodyTextFirstIndent2Char"/>
    <w:semiHidden/>
    <w:unhideWhenUsed/>
    <w:qFormat/>
    <w:rsid w:val="009F0A90"/>
    <w:pPr>
      <w:spacing w:line="480" w:lineRule="auto"/>
      <w:ind w:left="0" w:firstLine="720"/>
    </w:pPr>
    <w:rPr>
      <w:sz w:val="20"/>
    </w:rPr>
  </w:style>
  <w:style w:type="character" w:customStyle="1" w:styleId="BodyTextFirstIndent2Char1">
    <w:name w:val="Body Text First Indent 2 Char1"/>
    <w:basedOn w:val="BodyTextIndentChar"/>
    <w:semiHidden/>
    <w:rsid w:val="009F0A90"/>
    <w:rPr>
      <w:sz w:val="24"/>
    </w:rPr>
  </w:style>
  <w:style w:type="paragraph" w:styleId="BodyText2">
    <w:name w:val="Body Text 2"/>
    <w:basedOn w:val="Normal"/>
    <w:link w:val="BodyText2Char"/>
    <w:semiHidden/>
    <w:unhideWhenUsed/>
    <w:qFormat/>
    <w:rsid w:val="009F0A90"/>
    <w:pPr>
      <w:spacing w:after="200" w:line="480" w:lineRule="auto"/>
    </w:pPr>
    <w:rPr>
      <w:rFonts w:asciiTheme="minorHAnsi" w:eastAsiaTheme="minorHAnsi" w:hAnsiTheme="minorHAnsi" w:cstheme="minorBidi"/>
      <w:sz w:val="22"/>
      <w:szCs w:val="22"/>
    </w:rPr>
  </w:style>
  <w:style w:type="character" w:customStyle="1" w:styleId="BodyText2Char">
    <w:name w:val="Body Text 2 Char"/>
    <w:basedOn w:val="DefaultParagraphFont"/>
    <w:link w:val="BodyText2"/>
    <w:semiHidden/>
    <w:rsid w:val="009F0A90"/>
    <w:rPr>
      <w:rFonts w:asciiTheme="minorHAnsi" w:eastAsiaTheme="minorHAnsi" w:hAnsiTheme="minorHAnsi" w:cstheme="minorBidi"/>
      <w:sz w:val="22"/>
      <w:szCs w:val="22"/>
    </w:rPr>
  </w:style>
  <w:style w:type="character" w:customStyle="1" w:styleId="BodyText3Char">
    <w:name w:val="Body Text 3 Char"/>
    <w:basedOn w:val="DefaultParagraphFont"/>
    <w:link w:val="BodyText3"/>
    <w:uiPriority w:val="99"/>
    <w:semiHidden/>
    <w:rsid w:val="009F0A90"/>
    <w:rPr>
      <w:szCs w:val="16"/>
    </w:rPr>
  </w:style>
  <w:style w:type="paragraph" w:styleId="BodyText3">
    <w:name w:val="Body Text 3"/>
    <w:basedOn w:val="Normal"/>
    <w:link w:val="BodyText3Char"/>
    <w:uiPriority w:val="99"/>
    <w:semiHidden/>
    <w:unhideWhenUsed/>
    <w:rsid w:val="009F0A90"/>
    <w:pPr>
      <w:spacing w:after="240" w:line="276" w:lineRule="auto"/>
      <w:jc w:val="both"/>
    </w:pPr>
    <w:rPr>
      <w:sz w:val="20"/>
      <w:szCs w:val="16"/>
    </w:rPr>
  </w:style>
  <w:style w:type="character" w:customStyle="1" w:styleId="BodyText3Char1">
    <w:name w:val="Body Text 3 Char1"/>
    <w:basedOn w:val="DefaultParagraphFont"/>
    <w:semiHidden/>
    <w:rsid w:val="009F0A90"/>
    <w:rPr>
      <w:sz w:val="16"/>
      <w:szCs w:val="16"/>
    </w:rPr>
  </w:style>
  <w:style w:type="paragraph" w:styleId="BlockText">
    <w:name w:val="Block Text"/>
    <w:basedOn w:val="Normal"/>
    <w:semiHidden/>
    <w:unhideWhenUsed/>
    <w:qFormat/>
    <w:rsid w:val="009F0A90"/>
    <w:pPr>
      <w:spacing w:after="240" w:line="276" w:lineRule="auto"/>
      <w:ind w:left="1440" w:right="1440"/>
    </w:pPr>
    <w:rPr>
      <w:rFonts w:asciiTheme="minorHAnsi" w:eastAsiaTheme="minorHAnsi" w:hAnsiTheme="minorHAnsi" w:cstheme="minorBidi"/>
      <w:sz w:val="22"/>
      <w:szCs w:val="22"/>
    </w:rPr>
  </w:style>
  <w:style w:type="paragraph" w:styleId="NoSpacing">
    <w:name w:val="No Spacing"/>
    <w:uiPriority w:val="99"/>
    <w:qFormat/>
    <w:rsid w:val="009F0A90"/>
    <w:rPr>
      <w:rFonts w:eastAsia="Calibri"/>
      <w:sz w:val="24"/>
    </w:rPr>
  </w:style>
  <w:style w:type="paragraph" w:styleId="Quote">
    <w:name w:val="Quote"/>
    <w:basedOn w:val="Normal"/>
    <w:next w:val="Normal"/>
    <w:link w:val="QuoteChar"/>
    <w:uiPriority w:val="2"/>
    <w:qFormat/>
    <w:rsid w:val="009F0A90"/>
    <w:pPr>
      <w:spacing w:after="200" w:line="276" w:lineRule="auto"/>
    </w:pPr>
    <w:rPr>
      <w:rFonts w:asciiTheme="minorHAnsi" w:eastAsiaTheme="minorHAnsi" w:hAnsiTheme="minorHAnsi" w:cstheme="minorBidi"/>
      <w:i/>
      <w:iCs/>
      <w:color w:val="000000" w:themeColor="text1"/>
      <w:sz w:val="22"/>
      <w:szCs w:val="22"/>
    </w:rPr>
  </w:style>
  <w:style w:type="character" w:customStyle="1" w:styleId="QuoteChar">
    <w:name w:val="Quote Char"/>
    <w:basedOn w:val="DefaultParagraphFont"/>
    <w:link w:val="Quote"/>
    <w:uiPriority w:val="2"/>
    <w:rsid w:val="009F0A90"/>
    <w:rPr>
      <w:rFonts w:asciiTheme="minorHAnsi" w:eastAsiaTheme="minorHAnsi" w:hAnsiTheme="minorHAnsi" w:cstheme="minorBidi"/>
      <w:i/>
      <w:iCs/>
      <w:color w:val="000000" w:themeColor="text1"/>
      <w:sz w:val="22"/>
      <w:szCs w:val="22"/>
    </w:rPr>
  </w:style>
  <w:style w:type="character" w:styleId="IntenseEmphasis">
    <w:name w:val="Intense Emphasis"/>
    <w:basedOn w:val="DefaultParagraphFont"/>
    <w:uiPriority w:val="2"/>
    <w:qFormat/>
    <w:rsid w:val="009F0A90"/>
    <w:rPr>
      <w:b/>
      <w:bCs/>
      <w:i w:val="0"/>
      <w:iCs/>
      <w:color w:val="4F81BD" w:themeColor="accent1"/>
    </w:rPr>
  </w:style>
  <w:style w:type="paragraph" w:customStyle="1" w:styleId="CRAnswer">
    <w:name w:val="CR Answer"/>
    <w:basedOn w:val="Normal"/>
    <w:next w:val="Normal"/>
    <w:qFormat/>
    <w:rsid w:val="00724F5A"/>
    <w:pPr>
      <w:tabs>
        <w:tab w:val="left" w:pos="720"/>
      </w:tabs>
      <w:spacing w:line="480" w:lineRule="auto"/>
      <w:ind w:left="720" w:hanging="720"/>
      <w:jc w:val="both"/>
    </w:pPr>
    <w:rPr>
      <w:rFonts w:eastAsiaTheme="minorHAnsi"/>
      <w:szCs w:val="24"/>
    </w:rPr>
  </w:style>
  <w:style w:type="paragraph" w:customStyle="1" w:styleId="CROutline1">
    <w:name w:val="CR Outline1"/>
    <w:next w:val="Normal"/>
    <w:qFormat/>
    <w:rsid w:val="00442187"/>
    <w:pPr>
      <w:keepNext/>
      <w:numPr>
        <w:numId w:val="31"/>
      </w:numPr>
      <w:tabs>
        <w:tab w:val="clear" w:pos="2250"/>
      </w:tabs>
      <w:spacing w:after="240"/>
      <w:ind w:left="720"/>
      <w:jc w:val="center"/>
      <w:outlineLvl w:val="0"/>
    </w:pPr>
    <w:rPr>
      <w:rFonts w:ascii="Times New Roman Bold" w:hAnsi="Times New Roman Bold"/>
      <w:b/>
      <w:caps/>
      <w:sz w:val="24"/>
      <w:szCs w:val="24"/>
      <w:u w:val="single"/>
    </w:rPr>
  </w:style>
  <w:style w:type="paragraph" w:customStyle="1" w:styleId="CROutline2">
    <w:name w:val="CR Outline2"/>
    <w:next w:val="Normal"/>
    <w:qFormat/>
    <w:rsid w:val="004005B4"/>
    <w:pPr>
      <w:numPr>
        <w:ilvl w:val="1"/>
        <w:numId w:val="31"/>
      </w:numPr>
      <w:spacing w:after="240"/>
      <w:jc w:val="both"/>
      <w:outlineLvl w:val="1"/>
    </w:pPr>
    <w:rPr>
      <w:b/>
      <w:sz w:val="24"/>
      <w:szCs w:val="24"/>
    </w:rPr>
  </w:style>
  <w:style w:type="paragraph" w:customStyle="1" w:styleId="CROutline3">
    <w:name w:val="CR Outline3"/>
    <w:next w:val="Normal"/>
    <w:rsid w:val="00E13E9B"/>
    <w:pPr>
      <w:numPr>
        <w:ilvl w:val="2"/>
        <w:numId w:val="31"/>
      </w:numPr>
      <w:tabs>
        <w:tab w:val="left" w:pos="1440"/>
      </w:tabs>
      <w:spacing w:after="240"/>
      <w:jc w:val="both"/>
      <w:outlineLvl w:val="2"/>
    </w:pPr>
    <w:rPr>
      <w:b/>
      <w:sz w:val="24"/>
      <w:szCs w:val="24"/>
    </w:rPr>
  </w:style>
  <w:style w:type="paragraph" w:customStyle="1" w:styleId="CROutline4">
    <w:name w:val="CR Outline4"/>
    <w:next w:val="Normal"/>
    <w:rsid w:val="00724F5A"/>
    <w:pPr>
      <w:numPr>
        <w:ilvl w:val="3"/>
        <w:numId w:val="31"/>
      </w:numPr>
      <w:tabs>
        <w:tab w:val="left" w:pos="2160"/>
      </w:tabs>
      <w:spacing w:after="240"/>
      <w:jc w:val="both"/>
      <w:outlineLvl w:val="3"/>
    </w:pPr>
    <w:rPr>
      <w:b/>
      <w:sz w:val="24"/>
      <w:szCs w:val="24"/>
    </w:rPr>
  </w:style>
  <w:style w:type="paragraph" w:customStyle="1" w:styleId="CROutline5">
    <w:name w:val="CR Outline5"/>
    <w:next w:val="Normal"/>
    <w:rsid w:val="00724F5A"/>
    <w:pPr>
      <w:numPr>
        <w:ilvl w:val="4"/>
        <w:numId w:val="31"/>
      </w:numPr>
      <w:spacing w:after="240"/>
      <w:jc w:val="both"/>
      <w:outlineLvl w:val="4"/>
    </w:pPr>
    <w:rPr>
      <w:b/>
      <w:sz w:val="24"/>
      <w:szCs w:val="24"/>
    </w:rPr>
  </w:style>
  <w:style w:type="paragraph" w:customStyle="1" w:styleId="CROutline6">
    <w:name w:val="CR Outline6"/>
    <w:next w:val="Normal"/>
    <w:rsid w:val="00724F5A"/>
    <w:pPr>
      <w:numPr>
        <w:ilvl w:val="5"/>
        <w:numId w:val="31"/>
      </w:numPr>
      <w:spacing w:after="240"/>
      <w:jc w:val="both"/>
      <w:outlineLvl w:val="5"/>
    </w:pPr>
    <w:rPr>
      <w:b/>
      <w:sz w:val="24"/>
      <w:szCs w:val="24"/>
    </w:rPr>
  </w:style>
  <w:style w:type="paragraph" w:customStyle="1" w:styleId="CROutline7">
    <w:name w:val="CR Outline7"/>
    <w:next w:val="Normal"/>
    <w:rsid w:val="00724F5A"/>
    <w:pPr>
      <w:numPr>
        <w:ilvl w:val="6"/>
        <w:numId w:val="31"/>
      </w:numPr>
      <w:spacing w:after="240"/>
      <w:jc w:val="both"/>
      <w:outlineLvl w:val="6"/>
    </w:pPr>
    <w:rPr>
      <w:b/>
      <w:sz w:val="24"/>
      <w:szCs w:val="24"/>
    </w:rPr>
  </w:style>
  <w:style w:type="paragraph" w:customStyle="1" w:styleId="CROutline8">
    <w:name w:val="CR Outline8"/>
    <w:next w:val="Normal"/>
    <w:rsid w:val="00724F5A"/>
    <w:pPr>
      <w:numPr>
        <w:ilvl w:val="7"/>
        <w:numId w:val="31"/>
      </w:numPr>
      <w:spacing w:after="240"/>
      <w:jc w:val="both"/>
      <w:outlineLvl w:val="7"/>
    </w:pPr>
    <w:rPr>
      <w:b/>
      <w:sz w:val="24"/>
      <w:szCs w:val="24"/>
    </w:rPr>
  </w:style>
  <w:style w:type="paragraph" w:customStyle="1" w:styleId="CROutline9">
    <w:name w:val="CR Outline9"/>
    <w:next w:val="Normal"/>
    <w:rsid w:val="00724F5A"/>
    <w:pPr>
      <w:numPr>
        <w:ilvl w:val="8"/>
        <w:numId w:val="31"/>
      </w:numPr>
      <w:spacing w:after="240"/>
      <w:jc w:val="both"/>
      <w:outlineLvl w:val="8"/>
    </w:pPr>
    <w:rPr>
      <w:b/>
      <w:sz w:val="24"/>
      <w:szCs w:val="24"/>
    </w:rPr>
  </w:style>
  <w:style w:type="paragraph" w:customStyle="1" w:styleId="CRQuestion">
    <w:name w:val="CR Question"/>
    <w:basedOn w:val="Normal"/>
    <w:next w:val="CRAnswer"/>
    <w:qFormat/>
    <w:rsid w:val="00724F5A"/>
    <w:pPr>
      <w:tabs>
        <w:tab w:val="left" w:pos="720"/>
      </w:tabs>
      <w:spacing w:line="480" w:lineRule="auto"/>
      <w:ind w:left="720" w:hanging="720"/>
      <w:jc w:val="both"/>
    </w:pPr>
    <w:rPr>
      <w:rFonts w:ascii="Times New Roman Bold" w:eastAsiaTheme="minorHAnsi" w:hAnsi="Times New Roman Bold"/>
      <w:b/>
      <w:caps/>
      <w:szCs w:val="24"/>
    </w:rPr>
  </w:style>
  <w:style w:type="table" w:customStyle="1" w:styleId="TableGrid1">
    <w:name w:val="Table Grid1"/>
    <w:basedOn w:val="TableNormal"/>
    <w:next w:val="TableGrid"/>
    <w:uiPriority w:val="59"/>
    <w:rsid w:val="00261C2B"/>
    <w:pPr>
      <w:ind w:left="720" w:right="720"/>
    </w:pPr>
    <w:rPr>
      <w:rFonts w:eastAsia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3857CF"/>
  </w:style>
  <w:style w:type="paragraph" w:customStyle="1" w:styleId="paragraph">
    <w:name w:val="paragraph"/>
    <w:basedOn w:val="Normal"/>
    <w:rsid w:val="00837546"/>
    <w:pPr>
      <w:spacing w:before="100" w:beforeAutospacing="1" w:after="100" w:afterAutospacing="1"/>
    </w:pPr>
    <w:rPr>
      <w:szCs w:val="24"/>
    </w:rPr>
  </w:style>
  <w:style w:type="character" w:customStyle="1" w:styleId="superscript">
    <w:name w:val="superscript"/>
    <w:basedOn w:val="DefaultParagraphFont"/>
    <w:rsid w:val="00837546"/>
  </w:style>
  <w:style w:type="character" w:customStyle="1" w:styleId="eop">
    <w:name w:val="eop"/>
    <w:basedOn w:val="DefaultParagraphFont"/>
    <w:rsid w:val="00837546"/>
  </w:style>
  <w:style w:type="character" w:customStyle="1" w:styleId="tabchar">
    <w:name w:val="tabchar"/>
    <w:basedOn w:val="DefaultParagraphFont"/>
    <w:rsid w:val="00180C29"/>
  </w:style>
  <w:style w:type="character" w:customStyle="1" w:styleId="findhit">
    <w:name w:val="findhit"/>
    <w:basedOn w:val="DefaultParagraphFont"/>
    <w:rsid w:val="00180C29"/>
  </w:style>
  <w:style w:type="character" w:styleId="Mention">
    <w:name w:val="Mention"/>
    <w:basedOn w:val="DefaultParagraphFont"/>
    <w:uiPriority w:val="99"/>
    <w:unhideWhenUsed/>
    <w:rsid w:val="0032267F"/>
    <w:rPr>
      <w:color w:val="2B579A"/>
      <w:shd w:val="clear" w:color="auto" w:fill="E1DFDD"/>
    </w:rPr>
  </w:style>
  <w:style w:type="paragraph" w:customStyle="1" w:styleId="Footnote">
    <w:name w:val="Footnote"/>
    <w:basedOn w:val="Normal"/>
    <w:autoRedefine/>
    <w:qFormat/>
    <w:rsid w:val="001A367B"/>
    <w:pPr>
      <w:spacing w:after="120"/>
      <w:ind w:firstLine="720"/>
      <w:jc w:val="both"/>
    </w:pPr>
    <w:rPr>
      <w:rFonts w:eastAsia="MS Mincho"/>
      <w:iCs/>
      <w:sz w:val="20"/>
    </w:rPr>
  </w:style>
  <w:style w:type="character" w:customStyle="1" w:styleId="CaptionChar">
    <w:name w:val="Caption Char"/>
    <w:aliases w:val="Captions Char,CEATI Caption Char,GHA Caption Char,GHA Caption Char Char Char Char Char Char Char Char Char Char,GH Caption Char,GHA Caption Char Char Char,GH - Caption Char,Billedtekst Tegn1 Char,Billedtekst Tegn Tegn Char"/>
    <w:basedOn w:val="DefaultParagraphFont"/>
    <w:link w:val="Caption"/>
    <w:uiPriority w:val="35"/>
    <w:locked/>
    <w:rsid w:val="00B1087A"/>
    <w:rPr>
      <w:rFonts w:ascii="Times New Roman Bold" w:hAnsi="Times New Roman Bold"/>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11405">
      <w:bodyDiv w:val="1"/>
      <w:marLeft w:val="0"/>
      <w:marRight w:val="0"/>
      <w:marTop w:val="0"/>
      <w:marBottom w:val="0"/>
      <w:divBdr>
        <w:top w:val="none" w:sz="0" w:space="0" w:color="auto"/>
        <w:left w:val="none" w:sz="0" w:space="0" w:color="auto"/>
        <w:bottom w:val="none" w:sz="0" w:space="0" w:color="auto"/>
        <w:right w:val="none" w:sz="0" w:space="0" w:color="auto"/>
      </w:divBdr>
    </w:div>
    <w:div w:id="173494486">
      <w:bodyDiv w:val="1"/>
      <w:marLeft w:val="0"/>
      <w:marRight w:val="0"/>
      <w:marTop w:val="0"/>
      <w:marBottom w:val="0"/>
      <w:divBdr>
        <w:top w:val="none" w:sz="0" w:space="0" w:color="auto"/>
        <w:left w:val="none" w:sz="0" w:space="0" w:color="auto"/>
        <w:bottom w:val="none" w:sz="0" w:space="0" w:color="auto"/>
        <w:right w:val="none" w:sz="0" w:space="0" w:color="auto"/>
      </w:divBdr>
    </w:div>
    <w:div w:id="180710113">
      <w:bodyDiv w:val="1"/>
      <w:marLeft w:val="0"/>
      <w:marRight w:val="0"/>
      <w:marTop w:val="0"/>
      <w:marBottom w:val="0"/>
      <w:divBdr>
        <w:top w:val="none" w:sz="0" w:space="0" w:color="auto"/>
        <w:left w:val="none" w:sz="0" w:space="0" w:color="auto"/>
        <w:bottom w:val="none" w:sz="0" w:space="0" w:color="auto"/>
        <w:right w:val="none" w:sz="0" w:space="0" w:color="auto"/>
      </w:divBdr>
    </w:div>
    <w:div w:id="185949593">
      <w:bodyDiv w:val="1"/>
      <w:marLeft w:val="0"/>
      <w:marRight w:val="0"/>
      <w:marTop w:val="0"/>
      <w:marBottom w:val="0"/>
      <w:divBdr>
        <w:top w:val="none" w:sz="0" w:space="0" w:color="auto"/>
        <w:left w:val="none" w:sz="0" w:space="0" w:color="auto"/>
        <w:bottom w:val="none" w:sz="0" w:space="0" w:color="auto"/>
        <w:right w:val="none" w:sz="0" w:space="0" w:color="auto"/>
      </w:divBdr>
    </w:div>
    <w:div w:id="220484243">
      <w:bodyDiv w:val="1"/>
      <w:marLeft w:val="0"/>
      <w:marRight w:val="0"/>
      <w:marTop w:val="0"/>
      <w:marBottom w:val="0"/>
      <w:divBdr>
        <w:top w:val="none" w:sz="0" w:space="0" w:color="auto"/>
        <w:left w:val="none" w:sz="0" w:space="0" w:color="auto"/>
        <w:bottom w:val="none" w:sz="0" w:space="0" w:color="auto"/>
        <w:right w:val="none" w:sz="0" w:space="0" w:color="auto"/>
      </w:divBdr>
    </w:div>
    <w:div w:id="227300719">
      <w:bodyDiv w:val="1"/>
      <w:marLeft w:val="0"/>
      <w:marRight w:val="0"/>
      <w:marTop w:val="0"/>
      <w:marBottom w:val="0"/>
      <w:divBdr>
        <w:top w:val="none" w:sz="0" w:space="0" w:color="auto"/>
        <w:left w:val="none" w:sz="0" w:space="0" w:color="auto"/>
        <w:bottom w:val="none" w:sz="0" w:space="0" w:color="auto"/>
        <w:right w:val="none" w:sz="0" w:space="0" w:color="auto"/>
      </w:divBdr>
    </w:div>
    <w:div w:id="266743795">
      <w:bodyDiv w:val="1"/>
      <w:marLeft w:val="0"/>
      <w:marRight w:val="0"/>
      <w:marTop w:val="0"/>
      <w:marBottom w:val="0"/>
      <w:divBdr>
        <w:top w:val="none" w:sz="0" w:space="0" w:color="auto"/>
        <w:left w:val="none" w:sz="0" w:space="0" w:color="auto"/>
        <w:bottom w:val="none" w:sz="0" w:space="0" w:color="auto"/>
        <w:right w:val="none" w:sz="0" w:space="0" w:color="auto"/>
      </w:divBdr>
    </w:div>
    <w:div w:id="353532366">
      <w:bodyDiv w:val="1"/>
      <w:marLeft w:val="0"/>
      <w:marRight w:val="0"/>
      <w:marTop w:val="0"/>
      <w:marBottom w:val="0"/>
      <w:divBdr>
        <w:top w:val="none" w:sz="0" w:space="0" w:color="auto"/>
        <w:left w:val="none" w:sz="0" w:space="0" w:color="auto"/>
        <w:bottom w:val="none" w:sz="0" w:space="0" w:color="auto"/>
        <w:right w:val="none" w:sz="0" w:space="0" w:color="auto"/>
      </w:divBdr>
    </w:div>
    <w:div w:id="366033171">
      <w:bodyDiv w:val="1"/>
      <w:marLeft w:val="0"/>
      <w:marRight w:val="0"/>
      <w:marTop w:val="0"/>
      <w:marBottom w:val="0"/>
      <w:divBdr>
        <w:top w:val="none" w:sz="0" w:space="0" w:color="auto"/>
        <w:left w:val="none" w:sz="0" w:space="0" w:color="auto"/>
        <w:bottom w:val="none" w:sz="0" w:space="0" w:color="auto"/>
        <w:right w:val="none" w:sz="0" w:space="0" w:color="auto"/>
      </w:divBdr>
    </w:div>
    <w:div w:id="447623519">
      <w:bodyDiv w:val="1"/>
      <w:marLeft w:val="0"/>
      <w:marRight w:val="0"/>
      <w:marTop w:val="0"/>
      <w:marBottom w:val="0"/>
      <w:divBdr>
        <w:top w:val="none" w:sz="0" w:space="0" w:color="auto"/>
        <w:left w:val="none" w:sz="0" w:space="0" w:color="auto"/>
        <w:bottom w:val="none" w:sz="0" w:space="0" w:color="auto"/>
        <w:right w:val="none" w:sz="0" w:space="0" w:color="auto"/>
      </w:divBdr>
    </w:div>
    <w:div w:id="450709342">
      <w:bodyDiv w:val="1"/>
      <w:marLeft w:val="0"/>
      <w:marRight w:val="0"/>
      <w:marTop w:val="0"/>
      <w:marBottom w:val="0"/>
      <w:divBdr>
        <w:top w:val="none" w:sz="0" w:space="0" w:color="auto"/>
        <w:left w:val="none" w:sz="0" w:space="0" w:color="auto"/>
        <w:bottom w:val="none" w:sz="0" w:space="0" w:color="auto"/>
        <w:right w:val="none" w:sz="0" w:space="0" w:color="auto"/>
      </w:divBdr>
    </w:div>
    <w:div w:id="465583751">
      <w:bodyDiv w:val="1"/>
      <w:marLeft w:val="0"/>
      <w:marRight w:val="0"/>
      <w:marTop w:val="0"/>
      <w:marBottom w:val="0"/>
      <w:divBdr>
        <w:top w:val="none" w:sz="0" w:space="0" w:color="auto"/>
        <w:left w:val="none" w:sz="0" w:space="0" w:color="auto"/>
        <w:bottom w:val="none" w:sz="0" w:space="0" w:color="auto"/>
        <w:right w:val="none" w:sz="0" w:space="0" w:color="auto"/>
      </w:divBdr>
    </w:div>
    <w:div w:id="483207610">
      <w:bodyDiv w:val="1"/>
      <w:marLeft w:val="0"/>
      <w:marRight w:val="0"/>
      <w:marTop w:val="0"/>
      <w:marBottom w:val="0"/>
      <w:divBdr>
        <w:top w:val="none" w:sz="0" w:space="0" w:color="auto"/>
        <w:left w:val="none" w:sz="0" w:space="0" w:color="auto"/>
        <w:bottom w:val="none" w:sz="0" w:space="0" w:color="auto"/>
        <w:right w:val="none" w:sz="0" w:space="0" w:color="auto"/>
      </w:divBdr>
    </w:div>
    <w:div w:id="485705680">
      <w:bodyDiv w:val="1"/>
      <w:marLeft w:val="0"/>
      <w:marRight w:val="0"/>
      <w:marTop w:val="0"/>
      <w:marBottom w:val="0"/>
      <w:divBdr>
        <w:top w:val="none" w:sz="0" w:space="0" w:color="auto"/>
        <w:left w:val="none" w:sz="0" w:space="0" w:color="auto"/>
        <w:bottom w:val="none" w:sz="0" w:space="0" w:color="auto"/>
        <w:right w:val="none" w:sz="0" w:space="0" w:color="auto"/>
      </w:divBdr>
    </w:div>
    <w:div w:id="572205508">
      <w:bodyDiv w:val="1"/>
      <w:marLeft w:val="0"/>
      <w:marRight w:val="0"/>
      <w:marTop w:val="0"/>
      <w:marBottom w:val="0"/>
      <w:divBdr>
        <w:top w:val="none" w:sz="0" w:space="0" w:color="auto"/>
        <w:left w:val="none" w:sz="0" w:space="0" w:color="auto"/>
        <w:bottom w:val="none" w:sz="0" w:space="0" w:color="auto"/>
        <w:right w:val="none" w:sz="0" w:space="0" w:color="auto"/>
      </w:divBdr>
    </w:div>
    <w:div w:id="572659776">
      <w:bodyDiv w:val="1"/>
      <w:marLeft w:val="0"/>
      <w:marRight w:val="0"/>
      <w:marTop w:val="0"/>
      <w:marBottom w:val="0"/>
      <w:divBdr>
        <w:top w:val="none" w:sz="0" w:space="0" w:color="auto"/>
        <w:left w:val="none" w:sz="0" w:space="0" w:color="auto"/>
        <w:bottom w:val="none" w:sz="0" w:space="0" w:color="auto"/>
        <w:right w:val="none" w:sz="0" w:space="0" w:color="auto"/>
      </w:divBdr>
    </w:div>
    <w:div w:id="628978697">
      <w:bodyDiv w:val="1"/>
      <w:marLeft w:val="0"/>
      <w:marRight w:val="0"/>
      <w:marTop w:val="0"/>
      <w:marBottom w:val="0"/>
      <w:divBdr>
        <w:top w:val="none" w:sz="0" w:space="0" w:color="auto"/>
        <w:left w:val="none" w:sz="0" w:space="0" w:color="auto"/>
        <w:bottom w:val="none" w:sz="0" w:space="0" w:color="auto"/>
        <w:right w:val="none" w:sz="0" w:space="0" w:color="auto"/>
      </w:divBdr>
    </w:div>
    <w:div w:id="665666902">
      <w:bodyDiv w:val="1"/>
      <w:marLeft w:val="0"/>
      <w:marRight w:val="0"/>
      <w:marTop w:val="0"/>
      <w:marBottom w:val="0"/>
      <w:divBdr>
        <w:top w:val="none" w:sz="0" w:space="0" w:color="auto"/>
        <w:left w:val="none" w:sz="0" w:space="0" w:color="auto"/>
        <w:bottom w:val="none" w:sz="0" w:space="0" w:color="auto"/>
        <w:right w:val="none" w:sz="0" w:space="0" w:color="auto"/>
      </w:divBdr>
    </w:div>
    <w:div w:id="681663517">
      <w:bodyDiv w:val="1"/>
      <w:marLeft w:val="0"/>
      <w:marRight w:val="0"/>
      <w:marTop w:val="0"/>
      <w:marBottom w:val="0"/>
      <w:divBdr>
        <w:top w:val="none" w:sz="0" w:space="0" w:color="auto"/>
        <w:left w:val="none" w:sz="0" w:space="0" w:color="auto"/>
        <w:bottom w:val="none" w:sz="0" w:space="0" w:color="auto"/>
        <w:right w:val="none" w:sz="0" w:space="0" w:color="auto"/>
      </w:divBdr>
    </w:div>
    <w:div w:id="777528979">
      <w:bodyDiv w:val="1"/>
      <w:marLeft w:val="0"/>
      <w:marRight w:val="0"/>
      <w:marTop w:val="0"/>
      <w:marBottom w:val="0"/>
      <w:divBdr>
        <w:top w:val="none" w:sz="0" w:space="0" w:color="auto"/>
        <w:left w:val="none" w:sz="0" w:space="0" w:color="auto"/>
        <w:bottom w:val="none" w:sz="0" w:space="0" w:color="auto"/>
        <w:right w:val="none" w:sz="0" w:space="0" w:color="auto"/>
      </w:divBdr>
    </w:div>
    <w:div w:id="823737607">
      <w:bodyDiv w:val="1"/>
      <w:marLeft w:val="0"/>
      <w:marRight w:val="0"/>
      <w:marTop w:val="0"/>
      <w:marBottom w:val="0"/>
      <w:divBdr>
        <w:top w:val="none" w:sz="0" w:space="0" w:color="auto"/>
        <w:left w:val="none" w:sz="0" w:space="0" w:color="auto"/>
        <w:bottom w:val="none" w:sz="0" w:space="0" w:color="auto"/>
        <w:right w:val="none" w:sz="0" w:space="0" w:color="auto"/>
      </w:divBdr>
    </w:div>
    <w:div w:id="830100556">
      <w:bodyDiv w:val="1"/>
      <w:marLeft w:val="0"/>
      <w:marRight w:val="0"/>
      <w:marTop w:val="0"/>
      <w:marBottom w:val="0"/>
      <w:divBdr>
        <w:top w:val="none" w:sz="0" w:space="0" w:color="auto"/>
        <w:left w:val="none" w:sz="0" w:space="0" w:color="auto"/>
        <w:bottom w:val="none" w:sz="0" w:space="0" w:color="auto"/>
        <w:right w:val="none" w:sz="0" w:space="0" w:color="auto"/>
      </w:divBdr>
    </w:div>
    <w:div w:id="921331723">
      <w:bodyDiv w:val="1"/>
      <w:marLeft w:val="0"/>
      <w:marRight w:val="0"/>
      <w:marTop w:val="0"/>
      <w:marBottom w:val="0"/>
      <w:divBdr>
        <w:top w:val="none" w:sz="0" w:space="0" w:color="auto"/>
        <w:left w:val="none" w:sz="0" w:space="0" w:color="auto"/>
        <w:bottom w:val="none" w:sz="0" w:space="0" w:color="auto"/>
        <w:right w:val="none" w:sz="0" w:space="0" w:color="auto"/>
      </w:divBdr>
    </w:div>
    <w:div w:id="967129728">
      <w:bodyDiv w:val="1"/>
      <w:marLeft w:val="0"/>
      <w:marRight w:val="0"/>
      <w:marTop w:val="0"/>
      <w:marBottom w:val="0"/>
      <w:divBdr>
        <w:top w:val="none" w:sz="0" w:space="0" w:color="auto"/>
        <w:left w:val="none" w:sz="0" w:space="0" w:color="auto"/>
        <w:bottom w:val="none" w:sz="0" w:space="0" w:color="auto"/>
        <w:right w:val="none" w:sz="0" w:space="0" w:color="auto"/>
      </w:divBdr>
    </w:div>
    <w:div w:id="1018896717">
      <w:bodyDiv w:val="1"/>
      <w:marLeft w:val="0"/>
      <w:marRight w:val="0"/>
      <w:marTop w:val="0"/>
      <w:marBottom w:val="0"/>
      <w:divBdr>
        <w:top w:val="none" w:sz="0" w:space="0" w:color="auto"/>
        <w:left w:val="none" w:sz="0" w:space="0" w:color="auto"/>
        <w:bottom w:val="none" w:sz="0" w:space="0" w:color="auto"/>
        <w:right w:val="none" w:sz="0" w:space="0" w:color="auto"/>
      </w:divBdr>
    </w:div>
    <w:div w:id="1042562333">
      <w:bodyDiv w:val="1"/>
      <w:marLeft w:val="0"/>
      <w:marRight w:val="0"/>
      <w:marTop w:val="0"/>
      <w:marBottom w:val="0"/>
      <w:divBdr>
        <w:top w:val="none" w:sz="0" w:space="0" w:color="auto"/>
        <w:left w:val="none" w:sz="0" w:space="0" w:color="auto"/>
        <w:bottom w:val="none" w:sz="0" w:space="0" w:color="auto"/>
        <w:right w:val="none" w:sz="0" w:space="0" w:color="auto"/>
      </w:divBdr>
    </w:div>
    <w:div w:id="1072237052">
      <w:bodyDiv w:val="1"/>
      <w:marLeft w:val="0"/>
      <w:marRight w:val="0"/>
      <w:marTop w:val="0"/>
      <w:marBottom w:val="0"/>
      <w:divBdr>
        <w:top w:val="none" w:sz="0" w:space="0" w:color="auto"/>
        <w:left w:val="none" w:sz="0" w:space="0" w:color="auto"/>
        <w:bottom w:val="none" w:sz="0" w:space="0" w:color="auto"/>
        <w:right w:val="none" w:sz="0" w:space="0" w:color="auto"/>
      </w:divBdr>
    </w:div>
    <w:div w:id="1080323642">
      <w:bodyDiv w:val="1"/>
      <w:marLeft w:val="0"/>
      <w:marRight w:val="0"/>
      <w:marTop w:val="0"/>
      <w:marBottom w:val="0"/>
      <w:divBdr>
        <w:top w:val="none" w:sz="0" w:space="0" w:color="auto"/>
        <w:left w:val="none" w:sz="0" w:space="0" w:color="auto"/>
        <w:bottom w:val="none" w:sz="0" w:space="0" w:color="auto"/>
        <w:right w:val="none" w:sz="0" w:space="0" w:color="auto"/>
      </w:divBdr>
    </w:div>
    <w:div w:id="1087963280">
      <w:bodyDiv w:val="1"/>
      <w:marLeft w:val="0"/>
      <w:marRight w:val="0"/>
      <w:marTop w:val="0"/>
      <w:marBottom w:val="0"/>
      <w:divBdr>
        <w:top w:val="none" w:sz="0" w:space="0" w:color="auto"/>
        <w:left w:val="none" w:sz="0" w:space="0" w:color="auto"/>
        <w:bottom w:val="none" w:sz="0" w:space="0" w:color="auto"/>
        <w:right w:val="none" w:sz="0" w:space="0" w:color="auto"/>
      </w:divBdr>
    </w:div>
    <w:div w:id="1166169847">
      <w:bodyDiv w:val="1"/>
      <w:marLeft w:val="0"/>
      <w:marRight w:val="0"/>
      <w:marTop w:val="0"/>
      <w:marBottom w:val="0"/>
      <w:divBdr>
        <w:top w:val="none" w:sz="0" w:space="0" w:color="auto"/>
        <w:left w:val="none" w:sz="0" w:space="0" w:color="auto"/>
        <w:bottom w:val="none" w:sz="0" w:space="0" w:color="auto"/>
        <w:right w:val="none" w:sz="0" w:space="0" w:color="auto"/>
      </w:divBdr>
    </w:div>
    <w:div w:id="1239946023">
      <w:bodyDiv w:val="1"/>
      <w:marLeft w:val="0"/>
      <w:marRight w:val="0"/>
      <w:marTop w:val="0"/>
      <w:marBottom w:val="0"/>
      <w:divBdr>
        <w:top w:val="none" w:sz="0" w:space="0" w:color="auto"/>
        <w:left w:val="none" w:sz="0" w:space="0" w:color="auto"/>
        <w:bottom w:val="none" w:sz="0" w:space="0" w:color="auto"/>
        <w:right w:val="none" w:sz="0" w:space="0" w:color="auto"/>
      </w:divBdr>
      <w:divsChild>
        <w:div w:id="92633071">
          <w:marLeft w:val="0"/>
          <w:marRight w:val="0"/>
          <w:marTop w:val="0"/>
          <w:marBottom w:val="0"/>
          <w:divBdr>
            <w:top w:val="none" w:sz="0" w:space="0" w:color="auto"/>
            <w:left w:val="none" w:sz="0" w:space="0" w:color="auto"/>
            <w:bottom w:val="none" w:sz="0" w:space="0" w:color="auto"/>
            <w:right w:val="none" w:sz="0" w:space="0" w:color="auto"/>
          </w:divBdr>
        </w:div>
        <w:div w:id="446778929">
          <w:marLeft w:val="0"/>
          <w:marRight w:val="0"/>
          <w:marTop w:val="0"/>
          <w:marBottom w:val="0"/>
          <w:divBdr>
            <w:top w:val="none" w:sz="0" w:space="0" w:color="auto"/>
            <w:left w:val="none" w:sz="0" w:space="0" w:color="auto"/>
            <w:bottom w:val="none" w:sz="0" w:space="0" w:color="auto"/>
            <w:right w:val="none" w:sz="0" w:space="0" w:color="auto"/>
          </w:divBdr>
        </w:div>
        <w:div w:id="912274229">
          <w:marLeft w:val="0"/>
          <w:marRight w:val="0"/>
          <w:marTop w:val="0"/>
          <w:marBottom w:val="0"/>
          <w:divBdr>
            <w:top w:val="none" w:sz="0" w:space="0" w:color="auto"/>
            <w:left w:val="none" w:sz="0" w:space="0" w:color="auto"/>
            <w:bottom w:val="none" w:sz="0" w:space="0" w:color="auto"/>
            <w:right w:val="none" w:sz="0" w:space="0" w:color="auto"/>
          </w:divBdr>
        </w:div>
        <w:div w:id="1418014122">
          <w:marLeft w:val="0"/>
          <w:marRight w:val="0"/>
          <w:marTop w:val="0"/>
          <w:marBottom w:val="0"/>
          <w:divBdr>
            <w:top w:val="none" w:sz="0" w:space="0" w:color="auto"/>
            <w:left w:val="none" w:sz="0" w:space="0" w:color="auto"/>
            <w:bottom w:val="none" w:sz="0" w:space="0" w:color="auto"/>
            <w:right w:val="none" w:sz="0" w:space="0" w:color="auto"/>
          </w:divBdr>
        </w:div>
        <w:div w:id="1672485335">
          <w:marLeft w:val="0"/>
          <w:marRight w:val="0"/>
          <w:marTop w:val="0"/>
          <w:marBottom w:val="0"/>
          <w:divBdr>
            <w:top w:val="none" w:sz="0" w:space="0" w:color="auto"/>
            <w:left w:val="none" w:sz="0" w:space="0" w:color="auto"/>
            <w:bottom w:val="none" w:sz="0" w:space="0" w:color="auto"/>
            <w:right w:val="none" w:sz="0" w:space="0" w:color="auto"/>
          </w:divBdr>
        </w:div>
        <w:div w:id="1746607930">
          <w:marLeft w:val="0"/>
          <w:marRight w:val="0"/>
          <w:marTop w:val="0"/>
          <w:marBottom w:val="0"/>
          <w:divBdr>
            <w:top w:val="none" w:sz="0" w:space="0" w:color="auto"/>
            <w:left w:val="none" w:sz="0" w:space="0" w:color="auto"/>
            <w:bottom w:val="none" w:sz="0" w:space="0" w:color="auto"/>
            <w:right w:val="none" w:sz="0" w:space="0" w:color="auto"/>
          </w:divBdr>
        </w:div>
      </w:divsChild>
    </w:div>
    <w:div w:id="1259145490">
      <w:bodyDiv w:val="1"/>
      <w:marLeft w:val="0"/>
      <w:marRight w:val="0"/>
      <w:marTop w:val="0"/>
      <w:marBottom w:val="0"/>
      <w:divBdr>
        <w:top w:val="none" w:sz="0" w:space="0" w:color="auto"/>
        <w:left w:val="none" w:sz="0" w:space="0" w:color="auto"/>
        <w:bottom w:val="none" w:sz="0" w:space="0" w:color="auto"/>
        <w:right w:val="none" w:sz="0" w:space="0" w:color="auto"/>
      </w:divBdr>
    </w:div>
    <w:div w:id="1288119012">
      <w:bodyDiv w:val="1"/>
      <w:marLeft w:val="0"/>
      <w:marRight w:val="0"/>
      <w:marTop w:val="0"/>
      <w:marBottom w:val="0"/>
      <w:divBdr>
        <w:top w:val="none" w:sz="0" w:space="0" w:color="auto"/>
        <w:left w:val="none" w:sz="0" w:space="0" w:color="auto"/>
        <w:bottom w:val="none" w:sz="0" w:space="0" w:color="auto"/>
        <w:right w:val="none" w:sz="0" w:space="0" w:color="auto"/>
      </w:divBdr>
    </w:div>
    <w:div w:id="1297375663">
      <w:bodyDiv w:val="1"/>
      <w:marLeft w:val="0"/>
      <w:marRight w:val="0"/>
      <w:marTop w:val="0"/>
      <w:marBottom w:val="0"/>
      <w:divBdr>
        <w:top w:val="none" w:sz="0" w:space="0" w:color="auto"/>
        <w:left w:val="none" w:sz="0" w:space="0" w:color="auto"/>
        <w:bottom w:val="none" w:sz="0" w:space="0" w:color="auto"/>
        <w:right w:val="none" w:sz="0" w:space="0" w:color="auto"/>
      </w:divBdr>
    </w:div>
    <w:div w:id="1298684446">
      <w:bodyDiv w:val="1"/>
      <w:marLeft w:val="0"/>
      <w:marRight w:val="0"/>
      <w:marTop w:val="0"/>
      <w:marBottom w:val="0"/>
      <w:divBdr>
        <w:top w:val="none" w:sz="0" w:space="0" w:color="auto"/>
        <w:left w:val="none" w:sz="0" w:space="0" w:color="auto"/>
        <w:bottom w:val="none" w:sz="0" w:space="0" w:color="auto"/>
        <w:right w:val="none" w:sz="0" w:space="0" w:color="auto"/>
      </w:divBdr>
    </w:div>
    <w:div w:id="1328677272">
      <w:bodyDiv w:val="1"/>
      <w:marLeft w:val="0"/>
      <w:marRight w:val="0"/>
      <w:marTop w:val="0"/>
      <w:marBottom w:val="0"/>
      <w:divBdr>
        <w:top w:val="none" w:sz="0" w:space="0" w:color="auto"/>
        <w:left w:val="none" w:sz="0" w:space="0" w:color="auto"/>
        <w:bottom w:val="none" w:sz="0" w:space="0" w:color="auto"/>
        <w:right w:val="none" w:sz="0" w:space="0" w:color="auto"/>
      </w:divBdr>
    </w:div>
    <w:div w:id="1398086607">
      <w:bodyDiv w:val="1"/>
      <w:marLeft w:val="0"/>
      <w:marRight w:val="0"/>
      <w:marTop w:val="0"/>
      <w:marBottom w:val="0"/>
      <w:divBdr>
        <w:top w:val="none" w:sz="0" w:space="0" w:color="auto"/>
        <w:left w:val="none" w:sz="0" w:space="0" w:color="auto"/>
        <w:bottom w:val="none" w:sz="0" w:space="0" w:color="auto"/>
        <w:right w:val="none" w:sz="0" w:space="0" w:color="auto"/>
      </w:divBdr>
    </w:div>
    <w:div w:id="1406221993">
      <w:bodyDiv w:val="1"/>
      <w:marLeft w:val="0"/>
      <w:marRight w:val="0"/>
      <w:marTop w:val="0"/>
      <w:marBottom w:val="0"/>
      <w:divBdr>
        <w:top w:val="none" w:sz="0" w:space="0" w:color="auto"/>
        <w:left w:val="none" w:sz="0" w:space="0" w:color="auto"/>
        <w:bottom w:val="none" w:sz="0" w:space="0" w:color="auto"/>
        <w:right w:val="none" w:sz="0" w:space="0" w:color="auto"/>
      </w:divBdr>
    </w:div>
    <w:div w:id="1446265538">
      <w:bodyDiv w:val="1"/>
      <w:marLeft w:val="0"/>
      <w:marRight w:val="0"/>
      <w:marTop w:val="0"/>
      <w:marBottom w:val="0"/>
      <w:divBdr>
        <w:top w:val="none" w:sz="0" w:space="0" w:color="auto"/>
        <w:left w:val="none" w:sz="0" w:space="0" w:color="auto"/>
        <w:bottom w:val="none" w:sz="0" w:space="0" w:color="auto"/>
        <w:right w:val="none" w:sz="0" w:space="0" w:color="auto"/>
      </w:divBdr>
    </w:div>
    <w:div w:id="1536191121">
      <w:bodyDiv w:val="1"/>
      <w:marLeft w:val="0"/>
      <w:marRight w:val="0"/>
      <w:marTop w:val="0"/>
      <w:marBottom w:val="0"/>
      <w:divBdr>
        <w:top w:val="none" w:sz="0" w:space="0" w:color="auto"/>
        <w:left w:val="none" w:sz="0" w:space="0" w:color="auto"/>
        <w:bottom w:val="none" w:sz="0" w:space="0" w:color="auto"/>
        <w:right w:val="none" w:sz="0" w:space="0" w:color="auto"/>
      </w:divBdr>
    </w:div>
    <w:div w:id="1583878648">
      <w:bodyDiv w:val="1"/>
      <w:marLeft w:val="0"/>
      <w:marRight w:val="0"/>
      <w:marTop w:val="0"/>
      <w:marBottom w:val="0"/>
      <w:divBdr>
        <w:top w:val="none" w:sz="0" w:space="0" w:color="auto"/>
        <w:left w:val="none" w:sz="0" w:space="0" w:color="auto"/>
        <w:bottom w:val="none" w:sz="0" w:space="0" w:color="auto"/>
        <w:right w:val="none" w:sz="0" w:space="0" w:color="auto"/>
      </w:divBdr>
    </w:div>
    <w:div w:id="1587613317">
      <w:bodyDiv w:val="1"/>
      <w:marLeft w:val="0"/>
      <w:marRight w:val="0"/>
      <w:marTop w:val="0"/>
      <w:marBottom w:val="0"/>
      <w:divBdr>
        <w:top w:val="none" w:sz="0" w:space="0" w:color="auto"/>
        <w:left w:val="none" w:sz="0" w:space="0" w:color="auto"/>
        <w:bottom w:val="none" w:sz="0" w:space="0" w:color="auto"/>
        <w:right w:val="none" w:sz="0" w:space="0" w:color="auto"/>
      </w:divBdr>
    </w:div>
    <w:div w:id="1628007760">
      <w:bodyDiv w:val="1"/>
      <w:marLeft w:val="0"/>
      <w:marRight w:val="0"/>
      <w:marTop w:val="0"/>
      <w:marBottom w:val="0"/>
      <w:divBdr>
        <w:top w:val="none" w:sz="0" w:space="0" w:color="auto"/>
        <w:left w:val="none" w:sz="0" w:space="0" w:color="auto"/>
        <w:bottom w:val="none" w:sz="0" w:space="0" w:color="auto"/>
        <w:right w:val="none" w:sz="0" w:space="0" w:color="auto"/>
      </w:divBdr>
    </w:div>
    <w:div w:id="1631087379">
      <w:bodyDiv w:val="1"/>
      <w:marLeft w:val="0"/>
      <w:marRight w:val="0"/>
      <w:marTop w:val="0"/>
      <w:marBottom w:val="0"/>
      <w:divBdr>
        <w:top w:val="none" w:sz="0" w:space="0" w:color="auto"/>
        <w:left w:val="none" w:sz="0" w:space="0" w:color="auto"/>
        <w:bottom w:val="none" w:sz="0" w:space="0" w:color="auto"/>
        <w:right w:val="none" w:sz="0" w:space="0" w:color="auto"/>
      </w:divBdr>
    </w:div>
    <w:div w:id="1640918561">
      <w:bodyDiv w:val="1"/>
      <w:marLeft w:val="0"/>
      <w:marRight w:val="0"/>
      <w:marTop w:val="0"/>
      <w:marBottom w:val="0"/>
      <w:divBdr>
        <w:top w:val="none" w:sz="0" w:space="0" w:color="auto"/>
        <w:left w:val="none" w:sz="0" w:space="0" w:color="auto"/>
        <w:bottom w:val="none" w:sz="0" w:space="0" w:color="auto"/>
        <w:right w:val="none" w:sz="0" w:space="0" w:color="auto"/>
      </w:divBdr>
    </w:div>
    <w:div w:id="1647781454">
      <w:bodyDiv w:val="1"/>
      <w:marLeft w:val="0"/>
      <w:marRight w:val="0"/>
      <w:marTop w:val="0"/>
      <w:marBottom w:val="0"/>
      <w:divBdr>
        <w:top w:val="none" w:sz="0" w:space="0" w:color="auto"/>
        <w:left w:val="none" w:sz="0" w:space="0" w:color="auto"/>
        <w:bottom w:val="none" w:sz="0" w:space="0" w:color="auto"/>
        <w:right w:val="none" w:sz="0" w:space="0" w:color="auto"/>
      </w:divBdr>
    </w:div>
    <w:div w:id="1750301330">
      <w:bodyDiv w:val="1"/>
      <w:marLeft w:val="0"/>
      <w:marRight w:val="0"/>
      <w:marTop w:val="0"/>
      <w:marBottom w:val="0"/>
      <w:divBdr>
        <w:top w:val="none" w:sz="0" w:space="0" w:color="auto"/>
        <w:left w:val="none" w:sz="0" w:space="0" w:color="auto"/>
        <w:bottom w:val="none" w:sz="0" w:space="0" w:color="auto"/>
        <w:right w:val="none" w:sz="0" w:space="0" w:color="auto"/>
      </w:divBdr>
    </w:div>
    <w:div w:id="1798841016">
      <w:bodyDiv w:val="1"/>
      <w:marLeft w:val="0"/>
      <w:marRight w:val="0"/>
      <w:marTop w:val="0"/>
      <w:marBottom w:val="0"/>
      <w:divBdr>
        <w:top w:val="none" w:sz="0" w:space="0" w:color="auto"/>
        <w:left w:val="none" w:sz="0" w:space="0" w:color="auto"/>
        <w:bottom w:val="none" w:sz="0" w:space="0" w:color="auto"/>
        <w:right w:val="none" w:sz="0" w:space="0" w:color="auto"/>
      </w:divBdr>
    </w:div>
    <w:div w:id="1814056361">
      <w:bodyDiv w:val="1"/>
      <w:marLeft w:val="0"/>
      <w:marRight w:val="0"/>
      <w:marTop w:val="0"/>
      <w:marBottom w:val="0"/>
      <w:divBdr>
        <w:top w:val="none" w:sz="0" w:space="0" w:color="auto"/>
        <w:left w:val="none" w:sz="0" w:space="0" w:color="auto"/>
        <w:bottom w:val="none" w:sz="0" w:space="0" w:color="auto"/>
        <w:right w:val="none" w:sz="0" w:space="0" w:color="auto"/>
      </w:divBdr>
    </w:div>
    <w:div w:id="1898471701">
      <w:bodyDiv w:val="1"/>
      <w:marLeft w:val="0"/>
      <w:marRight w:val="0"/>
      <w:marTop w:val="0"/>
      <w:marBottom w:val="0"/>
      <w:divBdr>
        <w:top w:val="none" w:sz="0" w:space="0" w:color="auto"/>
        <w:left w:val="none" w:sz="0" w:space="0" w:color="auto"/>
        <w:bottom w:val="none" w:sz="0" w:space="0" w:color="auto"/>
        <w:right w:val="none" w:sz="0" w:space="0" w:color="auto"/>
      </w:divBdr>
      <w:divsChild>
        <w:div w:id="572393702">
          <w:marLeft w:val="0"/>
          <w:marRight w:val="0"/>
          <w:marTop w:val="0"/>
          <w:marBottom w:val="0"/>
          <w:divBdr>
            <w:top w:val="none" w:sz="0" w:space="0" w:color="auto"/>
            <w:left w:val="none" w:sz="0" w:space="0" w:color="auto"/>
            <w:bottom w:val="none" w:sz="0" w:space="0" w:color="auto"/>
            <w:right w:val="none" w:sz="0" w:space="0" w:color="auto"/>
          </w:divBdr>
        </w:div>
      </w:divsChild>
    </w:div>
    <w:div w:id="1909075191">
      <w:bodyDiv w:val="1"/>
      <w:marLeft w:val="0"/>
      <w:marRight w:val="0"/>
      <w:marTop w:val="0"/>
      <w:marBottom w:val="0"/>
      <w:divBdr>
        <w:top w:val="none" w:sz="0" w:space="0" w:color="auto"/>
        <w:left w:val="none" w:sz="0" w:space="0" w:color="auto"/>
        <w:bottom w:val="none" w:sz="0" w:space="0" w:color="auto"/>
        <w:right w:val="none" w:sz="0" w:space="0" w:color="auto"/>
      </w:divBdr>
      <w:divsChild>
        <w:div w:id="644697793">
          <w:marLeft w:val="0"/>
          <w:marRight w:val="0"/>
          <w:marTop w:val="0"/>
          <w:marBottom w:val="0"/>
          <w:divBdr>
            <w:top w:val="none" w:sz="0" w:space="0" w:color="auto"/>
            <w:left w:val="none" w:sz="0" w:space="0" w:color="auto"/>
            <w:bottom w:val="none" w:sz="0" w:space="0" w:color="auto"/>
            <w:right w:val="none" w:sz="0" w:space="0" w:color="auto"/>
          </w:divBdr>
        </w:div>
        <w:div w:id="803887044">
          <w:marLeft w:val="0"/>
          <w:marRight w:val="0"/>
          <w:marTop w:val="0"/>
          <w:marBottom w:val="0"/>
          <w:divBdr>
            <w:top w:val="none" w:sz="0" w:space="0" w:color="auto"/>
            <w:left w:val="none" w:sz="0" w:space="0" w:color="auto"/>
            <w:bottom w:val="none" w:sz="0" w:space="0" w:color="auto"/>
            <w:right w:val="none" w:sz="0" w:space="0" w:color="auto"/>
          </w:divBdr>
        </w:div>
      </w:divsChild>
    </w:div>
    <w:div w:id="1972438429">
      <w:marLeft w:val="0"/>
      <w:marRight w:val="0"/>
      <w:marTop w:val="0"/>
      <w:marBottom w:val="0"/>
      <w:divBdr>
        <w:top w:val="none" w:sz="0" w:space="0" w:color="auto"/>
        <w:left w:val="none" w:sz="0" w:space="0" w:color="auto"/>
        <w:bottom w:val="none" w:sz="0" w:space="0" w:color="auto"/>
        <w:right w:val="none" w:sz="0" w:space="0" w:color="auto"/>
      </w:divBdr>
    </w:div>
    <w:div w:id="1981885810">
      <w:bodyDiv w:val="1"/>
      <w:marLeft w:val="0"/>
      <w:marRight w:val="0"/>
      <w:marTop w:val="0"/>
      <w:marBottom w:val="0"/>
      <w:divBdr>
        <w:top w:val="none" w:sz="0" w:space="0" w:color="auto"/>
        <w:left w:val="none" w:sz="0" w:space="0" w:color="auto"/>
        <w:bottom w:val="none" w:sz="0" w:space="0" w:color="auto"/>
        <w:right w:val="none" w:sz="0" w:space="0" w:color="auto"/>
      </w:divBdr>
    </w:div>
    <w:div w:id="1996958118">
      <w:bodyDiv w:val="1"/>
      <w:marLeft w:val="0"/>
      <w:marRight w:val="0"/>
      <w:marTop w:val="0"/>
      <w:marBottom w:val="0"/>
      <w:divBdr>
        <w:top w:val="none" w:sz="0" w:space="0" w:color="auto"/>
        <w:left w:val="none" w:sz="0" w:space="0" w:color="auto"/>
        <w:bottom w:val="none" w:sz="0" w:space="0" w:color="auto"/>
        <w:right w:val="none" w:sz="0" w:space="0" w:color="auto"/>
      </w:divBdr>
    </w:div>
    <w:div w:id="2018801945">
      <w:bodyDiv w:val="1"/>
      <w:marLeft w:val="0"/>
      <w:marRight w:val="0"/>
      <w:marTop w:val="0"/>
      <w:marBottom w:val="0"/>
      <w:divBdr>
        <w:top w:val="none" w:sz="0" w:space="0" w:color="auto"/>
        <w:left w:val="none" w:sz="0" w:space="0" w:color="auto"/>
        <w:bottom w:val="none" w:sz="0" w:space="0" w:color="auto"/>
        <w:right w:val="none" w:sz="0" w:space="0" w:color="auto"/>
      </w:divBdr>
    </w:div>
    <w:div w:id="214573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Moo</b:Tag>
    <b:SourceType>Book</b:SourceType>
    <b:Guid>{342A0D21-C4D6-4E42-A237-2E62D979D910}</b:Guid>
    <b:Title>	Moody’s Investors Service, Oncor Electric Delivery Company LLC, “Administrative Law Judge’s proposed decision on a pending rate case would be credit negative if implemented,” January 6, 2023.</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DF72A9-DA59-4325-AB7E-86C8A5FEBEE7}">
  <ds:schemaRefs>
    <ds:schemaRef ds:uri="http://schemas.openxmlformats.org/officeDocument/2006/bibliography"/>
  </ds:schemaRefs>
</ds:datastoreItem>
</file>

<file path=customXml/itemProps2.xml><?xml version="1.0" encoding="utf-8"?>
<ds:datastoreItem xmlns:ds="http://schemas.openxmlformats.org/officeDocument/2006/customXml" ds:itemID="{51503B00-B131-4AAE-A626-A08D2EDAA539}"/>
</file>

<file path=customXml/itemProps3.xml><?xml version="1.0" encoding="utf-8"?>
<ds:datastoreItem xmlns:ds="http://schemas.openxmlformats.org/officeDocument/2006/customXml" ds:itemID="{122F27EB-5293-4C36-9FF4-47F375A0B5C5}"/>
</file>

<file path=customXml/itemProps4.xml><?xml version="1.0" encoding="utf-8"?>
<ds:datastoreItem xmlns:ds="http://schemas.openxmlformats.org/officeDocument/2006/customXml" ds:itemID="{59636B66-5CDB-40B7-B18E-94EDC0202428}"/>
</file>

<file path=docProps/app.xml><?xml version="1.0" encoding="utf-8"?>
<Properties xmlns="http://schemas.openxmlformats.org/officeDocument/2006/extended-properties" xmlns:vt="http://schemas.openxmlformats.org/officeDocument/2006/docPropsVTypes">
  <Template>Normal.dotm</Template>
  <TotalTime>0</TotalTime>
  <Pages>44</Pages>
  <Words>8631</Words>
  <Characters>48983</Characters>
  <Application>Microsoft Office Word</Application>
  <DocSecurity>0</DocSecurity>
  <Lines>408</Lines>
  <Paragraphs>114</Paragraphs>
  <ScaleCrop>false</ScaleCrop>
  <Manager/>
  <Company/>
  <LinksUpToDate>false</LinksUpToDate>
  <CharactersWithSpaces>57500</CharactersWithSpaces>
  <SharedDoc>false</SharedDoc>
  <HLinks>
    <vt:vector size="18" baseType="variant">
      <vt:variant>
        <vt:i4>6553602</vt:i4>
      </vt:variant>
      <vt:variant>
        <vt:i4>6</vt:i4>
      </vt:variant>
      <vt:variant>
        <vt:i4>0</vt:i4>
      </vt:variant>
      <vt:variant>
        <vt:i4>5</vt:i4>
      </vt:variant>
      <vt:variant>
        <vt:lpwstr>mailto:brian.fields@centerpointenergy.com</vt:lpwstr>
      </vt:variant>
      <vt:variant>
        <vt:lpwstr/>
      </vt:variant>
      <vt:variant>
        <vt:i4>6553602</vt:i4>
      </vt:variant>
      <vt:variant>
        <vt:i4>3</vt:i4>
      </vt:variant>
      <vt:variant>
        <vt:i4>0</vt:i4>
      </vt:variant>
      <vt:variant>
        <vt:i4>5</vt:i4>
      </vt:variant>
      <vt:variant>
        <vt:lpwstr>mailto:brian.fields@centerpointenergy.com</vt:lpwstr>
      </vt:variant>
      <vt:variant>
        <vt:lpwstr/>
      </vt:variant>
      <vt:variant>
        <vt:i4>5963814</vt:i4>
      </vt:variant>
      <vt:variant>
        <vt:i4>0</vt:i4>
      </vt:variant>
      <vt:variant>
        <vt:i4>0</vt:i4>
      </vt:variant>
      <vt:variant>
        <vt:i4>5</vt:i4>
      </vt:variant>
      <vt:variant>
        <vt:lpwstr>mailto:jackie.richert@centerpointenergy.com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2024-02-22T00:59:00Z</dcterms:created>
  <dcterms:modified xsi:type="dcterms:W3CDTF">2024-02-22T00:59:00Z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0x010100F7A0A3677438D24B928C2D9AE45F51FC</vt:lpwstr>
  </property>
</Properties>
</file>